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noWrap w:val="0"/>
            <w:vAlign w:val="top"/>
          </w:tcPr>
          <w:p>
            <w:pPr>
              <w:keepNext w:val="0"/>
              <w:keepLines w:val="0"/>
              <w:suppressLineNumbers w:val="0"/>
              <w:adjustRightInd w:val="0"/>
              <w:snapToGrid w:val="0"/>
              <w:spacing w:before="0" w:beforeAutospacing="0" w:after="0" w:afterAutospacing="0" w:line="440" w:lineRule="exact"/>
              <w:ind w:left="0" w:right="0"/>
              <w:rPr>
                <w:rFonts w:hint="eastAsia"/>
                <w:color w:val="auto"/>
                <w:sz w:val="24"/>
                <w:szCs w:val="20"/>
              </w:rPr>
            </w:pPr>
            <w:r>
              <w:rPr>
                <w:rFonts w:hint="eastAsia"/>
                <w:color w:val="auto"/>
                <w:sz w:val="24"/>
                <w:szCs w:val="20"/>
              </w:rPr>
              <w:t>证券代码：000881</w:t>
            </w:r>
          </w:p>
        </w:tc>
        <w:tc>
          <w:tcPr>
            <w:tcW w:w="1667" w:type="pct"/>
            <w:noWrap w:val="0"/>
            <w:vAlign w:val="top"/>
          </w:tcPr>
          <w:p>
            <w:pPr>
              <w:keepNext w:val="0"/>
              <w:keepLines w:val="0"/>
              <w:suppressLineNumbers w:val="0"/>
              <w:adjustRightInd w:val="0"/>
              <w:snapToGrid w:val="0"/>
              <w:spacing w:before="0" w:beforeAutospacing="0" w:after="0" w:afterAutospacing="0" w:line="440" w:lineRule="exact"/>
              <w:ind w:left="0" w:right="0"/>
              <w:jc w:val="center"/>
              <w:rPr>
                <w:rFonts w:hint="eastAsia"/>
                <w:color w:val="auto"/>
                <w:sz w:val="24"/>
                <w:szCs w:val="20"/>
              </w:rPr>
            </w:pPr>
            <w:r>
              <w:rPr>
                <w:rFonts w:hint="eastAsia"/>
                <w:color w:val="auto"/>
                <w:sz w:val="24"/>
                <w:szCs w:val="20"/>
              </w:rPr>
              <w:t>证券简称：中广核技</w:t>
            </w:r>
          </w:p>
        </w:tc>
        <w:tc>
          <w:tcPr>
            <w:tcW w:w="1667" w:type="pct"/>
            <w:noWrap w:val="0"/>
            <w:vAlign w:val="top"/>
          </w:tcPr>
          <w:p>
            <w:pPr>
              <w:keepNext w:val="0"/>
              <w:keepLines w:val="0"/>
              <w:suppressLineNumbers w:val="0"/>
              <w:adjustRightInd w:val="0"/>
              <w:snapToGrid w:val="0"/>
              <w:spacing w:before="0" w:beforeAutospacing="0" w:after="0" w:afterAutospacing="0" w:line="440" w:lineRule="exact"/>
              <w:ind w:left="0" w:right="0"/>
              <w:jc w:val="right"/>
              <w:rPr>
                <w:rFonts w:hint="default" w:eastAsia="宋体"/>
                <w:color w:val="auto"/>
                <w:sz w:val="24"/>
                <w:szCs w:val="20"/>
                <w:lang w:val="en-US" w:eastAsia="zh-CN"/>
              </w:rPr>
            </w:pPr>
            <w:r>
              <w:rPr>
                <w:rFonts w:hint="eastAsia"/>
                <w:color w:val="auto"/>
                <w:sz w:val="24"/>
                <w:szCs w:val="20"/>
              </w:rPr>
              <w:t>公告编号：202</w:t>
            </w:r>
            <w:r>
              <w:rPr>
                <w:rFonts w:hint="eastAsia"/>
                <w:color w:val="auto"/>
                <w:sz w:val="24"/>
                <w:szCs w:val="20"/>
                <w:lang w:val="en-US" w:eastAsia="zh-CN"/>
              </w:rPr>
              <w:t>5</w:t>
            </w:r>
            <w:r>
              <w:rPr>
                <w:rFonts w:hint="eastAsia"/>
                <w:color w:val="auto"/>
                <w:sz w:val="24"/>
                <w:szCs w:val="20"/>
              </w:rPr>
              <w:t>-0</w:t>
            </w:r>
            <w:r>
              <w:rPr>
                <w:rFonts w:hint="eastAsia"/>
                <w:color w:val="auto"/>
                <w:sz w:val="24"/>
                <w:szCs w:val="20"/>
                <w:lang w:val="en-US" w:eastAsia="zh-CN"/>
              </w:rPr>
              <w:t>21</w:t>
            </w:r>
          </w:p>
        </w:tc>
      </w:tr>
    </w:tbl>
    <w:p>
      <w:pPr>
        <w:snapToGrid w:val="0"/>
        <w:spacing w:before="156" w:beforeLines="50"/>
        <w:jc w:val="center"/>
        <w:rPr>
          <w:rFonts w:hint="eastAsia"/>
          <w:b/>
          <w:color w:val="auto"/>
          <w:sz w:val="36"/>
          <w:szCs w:val="36"/>
        </w:rPr>
      </w:pPr>
      <w:r>
        <w:rPr>
          <w:rFonts w:hint="eastAsia"/>
          <w:b/>
          <w:color w:val="auto"/>
          <w:sz w:val="36"/>
          <w:szCs w:val="36"/>
        </w:rPr>
        <w:t>中广核核技术发展股份有限公司</w:t>
      </w:r>
    </w:p>
    <w:p>
      <w:pPr>
        <w:snapToGrid w:val="0"/>
        <w:spacing w:before="156" w:beforeLines="50"/>
        <w:jc w:val="center"/>
        <w:rPr>
          <w:b/>
          <w:color w:val="auto"/>
          <w:sz w:val="36"/>
          <w:szCs w:val="36"/>
        </w:rPr>
      </w:pPr>
      <w:r>
        <w:rPr>
          <w:rFonts w:hint="eastAsia"/>
          <w:b/>
          <w:color w:val="auto"/>
          <w:sz w:val="36"/>
          <w:szCs w:val="36"/>
        </w:rPr>
        <w:t>关于202</w:t>
      </w:r>
      <w:r>
        <w:rPr>
          <w:rFonts w:hint="eastAsia"/>
          <w:b/>
          <w:color w:val="auto"/>
          <w:sz w:val="36"/>
          <w:szCs w:val="36"/>
          <w:lang w:val="en-US" w:eastAsia="zh-CN"/>
        </w:rPr>
        <w:t>4</w:t>
      </w:r>
      <w:r>
        <w:rPr>
          <w:rFonts w:hint="eastAsia"/>
          <w:b/>
          <w:color w:val="auto"/>
          <w:sz w:val="36"/>
          <w:szCs w:val="36"/>
        </w:rPr>
        <w:t>年度计提</w:t>
      </w:r>
      <w:r>
        <w:rPr>
          <w:rFonts w:hint="eastAsia"/>
          <w:b/>
          <w:color w:val="auto"/>
          <w:sz w:val="36"/>
          <w:szCs w:val="36"/>
          <w:lang w:val="en-US" w:eastAsia="zh-CN"/>
        </w:rPr>
        <w:t>信用及</w:t>
      </w:r>
      <w:r>
        <w:rPr>
          <w:rFonts w:hint="eastAsia"/>
          <w:b/>
          <w:color w:val="auto"/>
          <w:sz w:val="36"/>
          <w:szCs w:val="36"/>
        </w:rPr>
        <w:t>资产减值准备的公告</w:t>
      </w:r>
    </w:p>
    <w:p>
      <w:pPr>
        <w:snapToGrid w:val="0"/>
        <w:spacing w:before="156" w:beforeLines="50" w:line="360" w:lineRule="auto"/>
        <w:ind w:firstLine="422" w:firstLineChars="200"/>
        <w:rPr>
          <w:rFonts w:hint="eastAsia"/>
          <w:b/>
          <w:color w:val="auto"/>
          <w:szCs w:val="21"/>
        </w:rPr>
      </w:pPr>
      <w:r>
        <w:rPr>
          <w:rFonts w:hint="eastAsia"/>
          <w:b/>
          <w:color w:val="auto"/>
          <w:szCs w:val="21"/>
        </w:rPr>
        <w:t>本公司及董事会全体成员保证信息披露的内容真实、准确、完整，没有虚假记载、误导性陈述或者重大遗漏。</w:t>
      </w:r>
    </w:p>
    <w:p>
      <w:pPr>
        <w:spacing w:line="360" w:lineRule="auto"/>
        <w:ind w:firstLine="480" w:firstLineChars="200"/>
        <w:rPr>
          <w:rFonts w:hint="eastAsia"/>
          <w:bCs/>
          <w:color w:val="auto"/>
          <w:kern w:val="0"/>
          <w:sz w:val="24"/>
          <w:szCs w:val="24"/>
        </w:rPr>
      </w:pPr>
      <w:r>
        <w:rPr>
          <w:rFonts w:hint="eastAsia"/>
          <w:bCs/>
          <w:color w:val="auto"/>
          <w:kern w:val="0"/>
          <w:sz w:val="24"/>
          <w:szCs w:val="24"/>
        </w:rPr>
        <w:t>202</w:t>
      </w:r>
      <w:r>
        <w:rPr>
          <w:rFonts w:hint="eastAsia"/>
          <w:bCs/>
          <w:color w:val="auto"/>
          <w:kern w:val="0"/>
          <w:sz w:val="24"/>
          <w:szCs w:val="24"/>
          <w:lang w:val="en-US" w:eastAsia="zh-CN"/>
        </w:rPr>
        <w:t>5</w:t>
      </w:r>
      <w:r>
        <w:rPr>
          <w:rFonts w:hint="eastAsia"/>
          <w:bCs/>
          <w:color w:val="auto"/>
          <w:kern w:val="0"/>
          <w:sz w:val="24"/>
          <w:szCs w:val="24"/>
        </w:rPr>
        <w:t>年4月2</w:t>
      </w:r>
      <w:r>
        <w:rPr>
          <w:rFonts w:hint="eastAsia"/>
          <w:bCs/>
          <w:color w:val="auto"/>
          <w:kern w:val="0"/>
          <w:sz w:val="24"/>
          <w:szCs w:val="24"/>
          <w:lang w:val="en-US" w:eastAsia="zh-CN"/>
        </w:rPr>
        <w:t>5</w:t>
      </w:r>
      <w:r>
        <w:rPr>
          <w:rFonts w:hint="eastAsia"/>
          <w:bCs/>
          <w:color w:val="auto"/>
          <w:kern w:val="0"/>
          <w:sz w:val="24"/>
          <w:szCs w:val="24"/>
        </w:rPr>
        <w:t>日，中广核核技术发展股份有限公司（以下简称“公司”）第</w:t>
      </w:r>
      <w:r>
        <w:rPr>
          <w:rFonts w:hint="eastAsia"/>
          <w:bCs/>
          <w:color w:val="auto"/>
          <w:kern w:val="0"/>
          <w:sz w:val="24"/>
          <w:szCs w:val="24"/>
          <w:lang w:val="en-US" w:eastAsia="zh-CN"/>
        </w:rPr>
        <w:t>十</w:t>
      </w:r>
      <w:r>
        <w:rPr>
          <w:rFonts w:hint="eastAsia"/>
          <w:bCs/>
          <w:color w:val="auto"/>
          <w:kern w:val="0"/>
          <w:sz w:val="24"/>
          <w:szCs w:val="24"/>
        </w:rPr>
        <w:t>届董事会第</w:t>
      </w:r>
      <w:r>
        <w:rPr>
          <w:rFonts w:hint="eastAsia"/>
          <w:bCs/>
          <w:color w:val="auto"/>
          <w:kern w:val="0"/>
          <w:sz w:val="24"/>
          <w:szCs w:val="24"/>
          <w:lang w:val="en-US" w:eastAsia="zh-CN"/>
        </w:rPr>
        <w:t>二十六</w:t>
      </w:r>
      <w:r>
        <w:rPr>
          <w:rFonts w:hint="eastAsia"/>
          <w:bCs/>
          <w:color w:val="auto"/>
          <w:kern w:val="0"/>
          <w:sz w:val="24"/>
          <w:szCs w:val="24"/>
        </w:rPr>
        <w:t>次会议审议通过了《关于审批公司2024年度减值准备计提及转回的议案》。现将具体情况公告如下：</w:t>
      </w:r>
    </w:p>
    <w:p>
      <w:pPr>
        <w:spacing w:line="360" w:lineRule="auto"/>
        <w:ind w:firstLine="482" w:firstLineChars="200"/>
        <w:rPr>
          <w:rFonts w:hint="eastAsia"/>
          <w:b/>
          <w:bCs/>
          <w:color w:val="auto"/>
          <w:kern w:val="0"/>
          <w:sz w:val="24"/>
          <w:szCs w:val="24"/>
        </w:rPr>
      </w:pPr>
      <w:r>
        <w:rPr>
          <w:rFonts w:hint="eastAsia"/>
          <w:b/>
          <w:bCs/>
          <w:color w:val="auto"/>
          <w:kern w:val="0"/>
          <w:sz w:val="24"/>
          <w:szCs w:val="24"/>
        </w:rPr>
        <w:t>一、计提减值准备情况概述</w:t>
      </w:r>
    </w:p>
    <w:p>
      <w:pPr>
        <w:spacing w:line="360" w:lineRule="auto"/>
        <w:ind w:firstLine="480" w:firstLineChars="200"/>
        <w:rPr>
          <w:rFonts w:hint="default" w:eastAsia="宋体"/>
          <w:b w:val="0"/>
          <w:bCs/>
          <w:color w:val="auto"/>
          <w:kern w:val="0"/>
          <w:sz w:val="24"/>
          <w:szCs w:val="24"/>
          <w:lang w:val="en-US" w:eastAsia="zh-CN"/>
        </w:rPr>
      </w:pPr>
      <w:r>
        <w:rPr>
          <w:rFonts w:hint="eastAsia"/>
          <w:b w:val="0"/>
          <w:bCs/>
          <w:color w:val="auto"/>
          <w:kern w:val="0"/>
          <w:sz w:val="24"/>
          <w:szCs w:val="24"/>
          <w:lang w:val="en-US" w:eastAsia="zh-CN"/>
        </w:rPr>
        <w:t>（一）</w:t>
      </w:r>
      <w:r>
        <w:rPr>
          <w:rFonts w:hint="eastAsia"/>
          <w:b w:val="0"/>
          <w:bCs/>
          <w:color w:val="auto"/>
          <w:kern w:val="0"/>
          <w:sz w:val="24"/>
          <w:szCs w:val="24"/>
        </w:rPr>
        <w:t>计提减值准备</w:t>
      </w:r>
      <w:r>
        <w:rPr>
          <w:rFonts w:hint="eastAsia"/>
          <w:b w:val="0"/>
          <w:bCs/>
          <w:color w:val="auto"/>
          <w:kern w:val="0"/>
          <w:sz w:val="24"/>
          <w:szCs w:val="24"/>
          <w:lang w:val="en-US" w:eastAsia="zh-CN"/>
        </w:rPr>
        <w:t>的原因</w:t>
      </w:r>
    </w:p>
    <w:p>
      <w:pPr>
        <w:spacing w:line="360" w:lineRule="auto"/>
        <w:ind w:firstLine="480" w:firstLineChars="200"/>
        <w:rPr>
          <w:rFonts w:hint="eastAsia"/>
          <w:bCs/>
          <w:color w:val="auto"/>
          <w:kern w:val="0"/>
          <w:sz w:val="24"/>
          <w:szCs w:val="24"/>
        </w:rPr>
      </w:pPr>
      <w:r>
        <w:rPr>
          <w:rFonts w:hint="eastAsia"/>
          <w:bCs/>
          <w:color w:val="auto"/>
          <w:kern w:val="0"/>
          <w:sz w:val="24"/>
          <w:szCs w:val="24"/>
        </w:rPr>
        <w:t>为更加真实、准确反映公司截至2024年12月31日的财务状况、资产价值情况，根据《企业会计准则》《深圳证券交易所股票上市规则》以及公司会计政策、会计估计的相关规定，公司基于谨慎性原则，对2024年末应收账款、其他应收款、长期应收款、存货、固定资产、无形资产以及商誉等各类资产进行了减值测试，对各类应收款项回收的可能性、存货的可变现净值、固定资产、无形资产以及商誉的可收回金额等进行了充分的评估和分析，</w:t>
      </w:r>
      <w:r>
        <w:rPr>
          <w:rFonts w:hint="default"/>
          <w:bCs/>
          <w:color w:val="auto"/>
          <w:kern w:val="0"/>
          <w:sz w:val="24"/>
          <w:szCs w:val="24"/>
          <w:lang w:val="en-US"/>
        </w:rPr>
        <w:t>拟对部分资产计提减值准备</w:t>
      </w:r>
      <w:r>
        <w:rPr>
          <w:rFonts w:hint="eastAsia"/>
          <w:bCs/>
          <w:color w:val="auto"/>
          <w:kern w:val="0"/>
          <w:sz w:val="24"/>
          <w:szCs w:val="24"/>
        </w:rPr>
        <w:t>。</w:t>
      </w:r>
    </w:p>
    <w:p>
      <w:pPr>
        <w:spacing w:line="360" w:lineRule="auto"/>
        <w:ind w:firstLine="480" w:firstLineChars="200"/>
        <w:rPr>
          <w:rFonts w:hint="eastAsia"/>
          <w:bCs/>
          <w:color w:val="auto"/>
          <w:kern w:val="0"/>
          <w:sz w:val="24"/>
          <w:szCs w:val="24"/>
          <w:lang w:val="en-US" w:eastAsia="zh-CN"/>
        </w:rPr>
      </w:pPr>
      <w:r>
        <w:rPr>
          <w:rFonts w:hint="eastAsia"/>
          <w:bCs/>
          <w:color w:val="auto"/>
          <w:kern w:val="0"/>
          <w:sz w:val="24"/>
          <w:szCs w:val="24"/>
          <w:lang w:val="en-US" w:eastAsia="zh-CN"/>
        </w:rPr>
        <w:t>（二）本次计提减值损失的范围、总金额和拟计入的报告期间</w:t>
      </w:r>
    </w:p>
    <w:p>
      <w:pPr>
        <w:spacing w:line="360" w:lineRule="auto"/>
        <w:ind w:firstLine="480" w:firstLineChars="200"/>
        <w:rPr>
          <w:rFonts w:hint="eastAsia"/>
          <w:bCs/>
          <w:color w:val="auto"/>
          <w:kern w:val="0"/>
          <w:sz w:val="24"/>
          <w:szCs w:val="24"/>
          <w:lang w:val="en-US" w:eastAsia="zh-CN"/>
        </w:rPr>
      </w:pPr>
      <w:r>
        <w:rPr>
          <w:rFonts w:hint="eastAsia"/>
          <w:bCs/>
          <w:color w:val="auto"/>
          <w:kern w:val="0"/>
          <w:sz w:val="24"/>
          <w:szCs w:val="24"/>
          <w:lang w:val="en-US" w:eastAsia="zh-CN"/>
        </w:rPr>
        <w:t>2024年1月1日至2024年12月31日期间确认的信用及资产减值损失合计为15,587.08万元，其中拟确认的信用减值损失金额为1,295.23万元，拟确认的资产减值损失金额为14,291.86万元。</w:t>
      </w:r>
    </w:p>
    <w:p>
      <w:pPr>
        <w:pStyle w:val="18"/>
        <w:jc w:val="right"/>
        <w:rPr>
          <w:rFonts w:hint="eastAsia"/>
          <w:sz w:val="15"/>
          <w:szCs w:val="15"/>
          <w:lang w:val="en-US" w:eastAsia="zh-CN"/>
        </w:rPr>
      </w:pPr>
      <w:r>
        <w:rPr>
          <w:rFonts w:hint="eastAsia"/>
          <w:sz w:val="15"/>
          <w:szCs w:val="15"/>
          <w:lang w:val="en-US" w:eastAsia="zh-CN"/>
        </w:rPr>
        <w:t>单位：元</w:t>
      </w:r>
    </w:p>
    <w:tbl>
      <w:tblPr>
        <w:tblStyle w:val="12"/>
        <w:tblW w:w="49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6"/>
        <w:gridCol w:w="4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439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i w:val="0"/>
                <w:iCs w:val="0"/>
                <w:color w:val="auto"/>
                <w:sz w:val="21"/>
                <w:szCs w:val="21"/>
                <w:u w:val="none"/>
              </w:rPr>
            </w:pPr>
            <w:bookmarkStart w:id="0" w:name="OLE_LINK1"/>
            <w:r>
              <w:rPr>
                <w:rFonts w:hint="default" w:ascii="Times New Roman" w:hAnsi="Times New Roman" w:eastAsia="宋体" w:cs="Times New Roman"/>
                <w:b/>
                <w:bCs/>
                <w:i w:val="0"/>
                <w:iCs w:val="0"/>
                <w:snapToGrid w:val="0"/>
                <w:color w:val="auto"/>
                <w:kern w:val="0"/>
                <w:sz w:val="21"/>
                <w:szCs w:val="21"/>
                <w:u w:val="none"/>
                <w:lang w:val="en-US" w:eastAsia="zh-CN" w:bidi="ar"/>
              </w:rPr>
              <w:t>项目</w:t>
            </w:r>
          </w:p>
        </w:tc>
        <w:tc>
          <w:tcPr>
            <w:tcW w:w="400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信用减值损失小计</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12,952,260.92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其中：应收账款坏账损失</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4,050,111.47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30" w:firstLineChars="30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其他应收款坏账损失</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8,773,770.77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30" w:firstLineChars="30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一年内到期的非流动资产坏账损失</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128,378.68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资产减值损失小计</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142,918,551.02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其中：商誉减值损失</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63,458,267.16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30" w:firstLineChars="30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存货跌价损失</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33,961,677.46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30" w:firstLineChars="30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固定资产减值损失</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35,484,058.26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30" w:firstLineChars="30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合同资产减值损失</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7,966,311.28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30" w:firstLineChars="300"/>
              <w:jc w:val="left"/>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snapToGrid w:val="0"/>
                <w:color w:val="auto"/>
                <w:kern w:val="0"/>
                <w:sz w:val="21"/>
                <w:szCs w:val="21"/>
                <w:u w:val="none"/>
                <w:lang w:val="en-US" w:eastAsia="zh-CN" w:bidi="ar"/>
              </w:rPr>
              <w:t>无形资产</w:t>
            </w:r>
            <w:r>
              <w:rPr>
                <w:rFonts w:hint="eastAsia" w:cs="Times New Roman"/>
                <w:i w:val="0"/>
                <w:iCs w:val="0"/>
                <w:snapToGrid w:val="0"/>
                <w:color w:val="auto"/>
                <w:kern w:val="0"/>
                <w:sz w:val="21"/>
                <w:szCs w:val="21"/>
                <w:u w:val="none"/>
                <w:lang w:val="en-US" w:eastAsia="zh-CN" w:bidi="ar"/>
              </w:rPr>
              <w:t>减值损失</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snapToGrid w:val="0"/>
                <w:color w:val="auto"/>
                <w:kern w:val="0"/>
                <w:sz w:val="21"/>
                <w:szCs w:val="21"/>
                <w:u w:val="none"/>
                <w:lang w:val="en-US" w:eastAsia="zh-CN" w:bidi="ar"/>
              </w:rPr>
              <w:t>2,048,236.86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9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合计</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snapToGrid w:val="0"/>
                <w:color w:val="auto"/>
                <w:kern w:val="0"/>
                <w:sz w:val="21"/>
                <w:szCs w:val="21"/>
                <w:u w:val="none"/>
                <w:lang w:val="en-US" w:eastAsia="zh-CN" w:bidi="ar"/>
              </w:rPr>
              <w:t>155,870,811.94</w:t>
            </w:r>
          </w:p>
        </w:tc>
      </w:tr>
      <w:bookmarkEnd w:id="0"/>
    </w:tbl>
    <w:p>
      <w:pPr>
        <w:spacing w:line="360" w:lineRule="auto"/>
        <w:ind w:firstLine="482" w:firstLineChars="200"/>
        <w:rPr>
          <w:rFonts w:hint="eastAsia"/>
          <w:b/>
          <w:bCs w:val="0"/>
          <w:color w:val="auto"/>
          <w:kern w:val="0"/>
          <w:sz w:val="24"/>
          <w:szCs w:val="24"/>
        </w:rPr>
      </w:pPr>
      <w:r>
        <w:rPr>
          <w:rFonts w:hint="eastAsia"/>
          <w:b/>
          <w:bCs w:val="0"/>
          <w:color w:val="auto"/>
          <w:kern w:val="0"/>
          <w:sz w:val="24"/>
          <w:szCs w:val="24"/>
          <w:lang w:val="en-US" w:eastAsia="zh-CN"/>
        </w:rPr>
        <w:t>二、</w:t>
      </w:r>
      <w:r>
        <w:rPr>
          <w:rFonts w:hint="eastAsia"/>
          <w:b/>
          <w:bCs w:val="0"/>
          <w:color w:val="auto"/>
          <w:kern w:val="0"/>
          <w:sz w:val="24"/>
          <w:szCs w:val="24"/>
        </w:rPr>
        <w:t>计提减值准备</w:t>
      </w:r>
      <w:r>
        <w:rPr>
          <w:rFonts w:hint="eastAsia"/>
          <w:b/>
          <w:bCs w:val="0"/>
          <w:color w:val="auto"/>
          <w:kern w:val="0"/>
          <w:sz w:val="24"/>
          <w:szCs w:val="24"/>
          <w:lang w:val="en-US" w:eastAsia="zh-CN"/>
        </w:rPr>
        <w:t>的</w:t>
      </w:r>
      <w:r>
        <w:rPr>
          <w:rFonts w:hint="eastAsia"/>
          <w:b/>
          <w:bCs w:val="0"/>
          <w:color w:val="auto"/>
          <w:kern w:val="0"/>
          <w:sz w:val="24"/>
          <w:szCs w:val="24"/>
        </w:rPr>
        <w:t>具体情况</w:t>
      </w:r>
    </w:p>
    <w:p>
      <w:pPr>
        <w:spacing w:line="360" w:lineRule="auto"/>
        <w:ind w:firstLine="482" w:firstLineChars="200"/>
        <w:rPr>
          <w:rFonts w:hint="eastAsia"/>
          <w:b/>
          <w:bCs/>
          <w:color w:val="auto"/>
          <w:kern w:val="0"/>
          <w:sz w:val="24"/>
          <w:szCs w:val="24"/>
        </w:rPr>
      </w:pPr>
      <w:r>
        <w:rPr>
          <w:rFonts w:hint="eastAsia"/>
          <w:b/>
          <w:bCs/>
          <w:color w:val="auto"/>
          <w:kern w:val="0"/>
          <w:sz w:val="24"/>
          <w:szCs w:val="24"/>
        </w:rPr>
        <w:t>（一）应收账款坏账准备</w:t>
      </w:r>
    </w:p>
    <w:p>
      <w:pPr>
        <w:spacing w:line="360" w:lineRule="auto"/>
        <w:ind w:firstLine="482" w:firstLineChars="200"/>
        <w:rPr>
          <w:rFonts w:hint="eastAsia" w:ascii="Times New Roman" w:hAnsi="Times New Roman" w:eastAsia="宋体" w:cs="Times New Roman"/>
          <w:b/>
          <w:bCs w:val="0"/>
          <w:color w:val="auto"/>
          <w:kern w:val="0"/>
          <w:sz w:val="24"/>
          <w:szCs w:val="24"/>
          <w:lang w:val="en-US" w:eastAsia="zh-CN"/>
        </w:rPr>
      </w:pPr>
      <w:r>
        <w:rPr>
          <w:rFonts w:hint="eastAsia" w:ascii="Times New Roman" w:hAnsi="Times New Roman" w:eastAsia="宋体" w:cs="Times New Roman"/>
          <w:b/>
          <w:bCs w:val="0"/>
          <w:color w:val="auto"/>
          <w:kern w:val="0"/>
          <w:sz w:val="24"/>
          <w:szCs w:val="24"/>
          <w:lang w:val="en-US" w:eastAsia="zh-CN"/>
        </w:rPr>
        <w:t>1、应收款项坏账准备的确认标准、计提方法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（1）应收款项的预期信用损失的确定方法及会计处理方法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公司对于《企业会计准则第14 号——收入》所规定的、不含重大融资成分（包括根据该准则不考虑不超过一年的合同中融资成分的情况）的应收款项，采用预期信用损失的简化模型，即始终按照整个存续期内预期信用损失的金额计量其损失准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对于包含重大融资成分的应收款项，公司选择采用预期信用损失的简化模型，即始终按照整个存续期内预期信用损失的金额计量其损失准备。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以上形成的损失准备的增加或转回金额，作为减值损失或利得计入当期损益。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（2）应收款项分类及坏账准备计提方法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公司考虑所有合理且有依据的信息，包括前瞻性信息，以单项或组合的方式对应收款项预期信用损失进行估计。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1）按单项计提坏账准备的应收款项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单独评估信用风险的应收款项，如：无法联系对方、对方破产清算、债务人死亡的应收款项；与对方存在争议或涉及诉讼、仲裁的应收款项；已有明显迹象表明债务人很可能无法履行还款义务的应收款项等。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对于单独评估信用风险的应收款项，于资产负债表日单独进行减值测试，有客观证据表明其发生了减值的，根据其未来现金流量现值低于其账面价值的差额，确认减值损失，计提坏账准备。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2）按组合计提坏账准备的应收款项</w:t>
      </w:r>
    </w:p>
    <w:p>
      <w:pPr>
        <w:pageBreakBefore w:val="0"/>
        <w:kinsoku/>
        <w:wordWrap/>
        <w:overflowPunct/>
        <w:topLinePunct w:val="0"/>
        <w:autoSpaceDE/>
        <w:autoSpaceDN/>
        <w:bidi w:val="0"/>
        <w:spacing w:line="400" w:lineRule="exact"/>
        <w:ind w:firstLine="480" w:firstLineChars="200"/>
        <w:textAlignment w:val="auto"/>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zh-CN"/>
        </w:rPr>
        <w:t>① 确定组合的依据</w:t>
      </w:r>
    </w:p>
    <w:tbl>
      <w:tblPr>
        <w:tblStyle w:val="12"/>
        <w:tblW w:w="4998" w:type="pct"/>
        <w:tblInd w:w="0" w:type="dxa"/>
        <w:tblLayout w:type="autofit"/>
        <w:tblCellMar>
          <w:top w:w="0" w:type="dxa"/>
          <w:left w:w="28" w:type="dxa"/>
          <w:bottom w:w="0" w:type="dxa"/>
          <w:right w:w="28" w:type="dxa"/>
        </w:tblCellMar>
      </w:tblPr>
      <w:tblGrid>
        <w:gridCol w:w="2225"/>
        <w:gridCol w:w="6134"/>
      </w:tblGrid>
      <w:tr>
        <w:tblPrEx>
          <w:tblCellMar>
            <w:top w:w="0" w:type="dxa"/>
            <w:left w:w="28" w:type="dxa"/>
            <w:bottom w:w="0" w:type="dxa"/>
            <w:right w:w="28" w:type="dxa"/>
          </w:tblCellMar>
        </w:tblPrEx>
        <w:tc>
          <w:tcPr>
            <w:tcW w:w="1331" w:type="pct"/>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组合1：</w:t>
            </w:r>
            <w:r>
              <w:rPr>
                <w:rFonts w:hint="default" w:ascii="Times New Roman" w:hAnsi="Times New Roman" w:cs="Times New Roman" w:eastAsiaTheme="minorEastAsia"/>
                <w:color w:val="auto"/>
                <w:sz w:val="21"/>
                <w:szCs w:val="21"/>
                <w:lang w:val="en-US" w:eastAsia="zh-CN"/>
              </w:rPr>
              <w:t>信用风险</w:t>
            </w:r>
            <w:r>
              <w:rPr>
                <w:rFonts w:hint="default" w:ascii="Times New Roman" w:hAnsi="Times New Roman" w:cs="Times New Roman" w:eastAsiaTheme="minorEastAsia"/>
                <w:color w:val="auto"/>
                <w:sz w:val="21"/>
                <w:szCs w:val="21"/>
              </w:rPr>
              <w:t>组合</w:t>
            </w:r>
          </w:p>
        </w:tc>
        <w:tc>
          <w:tcPr>
            <w:tcW w:w="366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参考历史信用损失经验，结合当前状况以及对未来经济状况的预测，通过违约风险敞口和对整个存续期预期信用损失率计算预期信用损失</w:t>
            </w:r>
            <w:r>
              <w:rPr>
                <w:rFonts w:hint="default" w:ascii="Times New Roman" w:hAnsi="Times New Roman" w:cs="Times New Roman" w:eastAsiaTheme="minorEastAsia"/>
                <w:color w:val="auto"/>
                <w:sz w:val="21"/>
                <w:szCs w:val="21"/>
                <w:lang w:eastAsia="zh-CN"/>
              </w:rPr>
              <w:t>。</w:t>
            </w:r>
          </w:p>
        </w:tc>
      </w:tr>
      <w:tr>
        <w:tblPrEx>
          <w:tblCellMar>
            <w:top w:w="0" w:type="dxa"/>
            <w:left w:w="28" w:type="dxa"/>
            <w:bottom w:w="0" w:type="dxa"/>
            <w:right w:w="28" w:type="dxa"/>
          </w:tblCellMar>
        </w:tblPrEx>
        <w:tc>
          <w:tcPr>
            <w:tcW w:w="1331" w:type="pct"/>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组合2：除组合1之外的应收款项</w:t>
            </w:r>
          </w:p>
        </w:tc>
        <w:tc>
          <w:tcPr>
            <w:tcW w:w="366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核技术应用板块：</w:t>
            </w:r>
          </w:p>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对于中国广核集团内部的应收款项不计提坏账准备；有确凿证据能够收回的中</w:t>
            </w:r>
            <w:r>
              <w:rPr>
                <w:rFonts w:hint="eastAsia" w:cs="Times New Roman" w:eastAsiaTheme="minorEastAsia"/>
                <w:color w:val="auto"/>
                <w:sz w:val="21"/>
                <w:szCs w:val="21"/>
                <w:lang w:val="en-US" w:eastAsia="zh-CN"/>
              </w:rPr>
              <w:t>国</w:t>
            </w:r>
            <w:r>
              <w:rPr>
                <w:rFonts w:hint="default" w:ascii="Times New Roman" w:hAnsi="Times New Roman" w:cs="Times New Roman" w:eastAsiaTheme="minorEastAsia"/>
                <w:color w:val="auto"/>
                <w:sz w:val="21"/>
                <w:szCs w:val="21"/>
              </w:rPr>
              <w:t>广核集团外部的应收款项，如应收政府补贴款、押金等。</w:t>
            </w:r>
          </w:p>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其他业务板块：</w:t>
            </w:r>
          </w:p>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对可收回的应收关联方的应收款项和根据协议未逾期、预计回收有保障的应收款项不计提坏账准备。</w:t>
            </w:r>
          </w:p>
        </w:tc>
      </w:tr>
    </w:tbl>
    <w:p>
      <w:pPr>
        <w:pageBreakBefore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注：核技术应用板块包括加速器及辐照加工服务、新材料；其他业务板块包括远洋运输、房地产、工程承包、进出口贸易及其他业务。</w:t>
      </w:r>
    </w:p>
    <w:p>
      <w:pPr>
        <w:pageBreakBefore w:val="0"/>
        <w:kinsoku/>
        <w:wordWrap/>
        <w:overflowPunct/>
        <w:topLinePunct w:val="0"/>
        <w:autoSpaceDE/>
        <w:autoSpaceDN/>
        <w:bidi w:val="0"/>
        <w:spacing w:line="400" w:lineRule="exact"/>
        <w:ind w:firstLine="480" w:firstLineChars="200"/>
        <w:textAlignment w:val="auto"/>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zh-CN"/>
        </w:rPr>
        <w:t>② 按组合计提坏账准备的计提方法</w:t>
      </w:r>
    </w:p>
    <w:tbl>
      <w:tblPr>
        <w:tblStyle w:val="12"/>
        <w:tblW w:w="4998" w:type="pct"/>
        <w:tblInd w:w="0" w:type="dxa"/>
        <w:tblLayout w:type="autofit"/>
        <w:tblCellMar>
          <w:top w:w="0" w:type="dxa"/>
          <w:left w:w="28" w:type="dxa"/>
          <w:bottom w:w="0" w:type="dxa"/>
          <w:right w:w="28" w:type="dxa"/>
        </w:tblCellMar>
      </w:tblPr>
      <w:tblGrid>
        <w:gridCol w:w="1832"/>
        <w:gridCol w:w="6527"/>
      </w:tblGrid>
      <w:tr>
        <w:tblPrEx>
          <w:tblCellMar>
            <w:top w:w="0" w:type="dxa"/>
            <w:left w:w="28" w:type="dxa"/>
            <w:bottom w:w="0" w:type="dxa"/>
            <w:right w:w="28" w:type="dxa"/>
          </w:tblCellMar>
        </w:tblPrEx>
        <w:trPr>
          <w:trHeight w:val="347" w:hRule="atLeast"/>
        </w:trPr>
        <w:tc>
          <w:tcPr>
            <w:tcW w:w="1096" w:type="pct"/>
            <w:tcBorders>
              <w:top w:val="single" w:color="auto" w:sz="4" w:space="0"/>
              <w:left w:val="single" w:color="auto" w:sz="4" w:space="0"/>
              <w:bottom w:val="single" w:color="auto" w:sz="4" w:space="0"/>
              <w:right w:val="single" w:color="auto" w:sz="4" w:space="0"/>
            </w:tcBorders>
            <w:shd w:val="clear" w:color="auto" w:fill="D3D3D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组合名称</w:t>
            </w:r>
          </w:p>
        </w:tc>
        <w:tc>
          <w:tcPr>
            <w:tcW w:w="3903" w:type="pct"/>
            <w:tcBorders>
              <w:top w:val="single" w:color="auto" w:sz="4" w:space="0"/>
              <w:left w:val="single" w:color="auto" w:sz="4" w:space="0"/>
              <w:bottom w:val="single" w:color="auto" w:sz="4" w:space="0"/>
              <w:right w:val="single" w:color="auto" w:sz="4" w:space="0"/>
            </w:tcBorders>
            <w:shd w:val="clear" w:color="auto" w:fill="D3D3D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坏账准备计提方法</w:t>
            </w:r>
          </w:p>
        </w:tc>
      </w:tr>
      <w:tr>
        <w:tblPrEx>
          <w:tblCellMar>
            <w:top w:w="0" w:type="dxa"/>
            <w:left w:w="28" w:type="dxa"/>
            <w:bottom w:w="0" w:type="dxa"/>
            <w:right w:w="28" w:type="dxa"/>
          </w:tblCellMar>
        </w:tblPrEx>
        <w:trPr>
          <w:trHeight w:val="347" w:hRule="atLeast"/>
        </w:trPr>
        <w:tc>
          <w:tcPr>
            <w:tcW w:w="109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组合1：</w:t>
            </w:r>
            <w:r>
              <w:rPr>
                <w:rFonts w:hint="default" w:ascii="Times New Roman" w:hAnsi="Times New Roman" w:cs="Times New Roman" w:eastAsiaTheme="minorEastAsia"/>
                <w:color w:val="auto"/>
                <w:sz w:val="21"/>
                <w:szCs w:val="21"/>
                <w:lang w:val="en-US" w:eastAsia="zh-CN"/>
              </w:rPr>
              <w:t>信用风险</w:t>
            </w:r>
            <w:r>
              <w:rPr>
                <w:rFonts w:hint="default" w:ascii="Times New Roman" w:hAnsi="Times New Roman" w:cs="Times New Roman" w:eastAsiaTheme="minorEastAsia"/>
                <w:color w:val="auto"/>
                <w:sz w:val="21"/>
                <w:szCs w:val="21"/>
              </w:rPr>
              <w:t>组合</w:t>
            </w:r>
          </w:p>
        </w:tc>
        <w:tc>
          <w:tcPr>
            <w:tcW w:w="390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参考历史信用损失经验，结合当前状况以及对未来经济状况的预测，通过违约风险敞口和对整个存续期预期信用损失率计算预期信用损失</w:t>
            </w:r>
          </w:p>
        </w:tc>
      </w:tr>
      <w:tr>
        <w:tblPrEx>
          <w:tblCellMar>
            <w:top w:w="0" w:type="dxa"/>
            <w:left w:w="28" w:type="dxa"/>
            <w:bottom w:w="0" w:type="dxa"/>
            <w:right w:w="28" w:type="dxa"/>
          </w:tblCellMar>
        </w:tblPrEx>
        <w:trPr>
          <w:trHeight w:val="355" w:hRule="atLeast"/>
        </w:trPr>
        <w:tc>
          <w:tcPr>
            <w:tcW w:w="109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组合2：除组合1之外的应收款项</w:t>
            </w:r>
          </w:p>
        </w:tc>
        <w:tc>
          <w:tcPr>
            <w:tcW w:w="390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参考历史信用损失经验，结合当前状况以及对未来经济状况的预测，通过违约风险敞口和对整个存续期预期信用损失率计算预期信用损失</w:t>
            </w:r>
          </w:p>
        </w:tc>
      </w:tr>
    </w:tbl>
    <w:p>
      <w:pPr>
        <w:pageBreakBefore w:val="0"/>
        <w:kinsoku/>
        <w:wordWrap/>
        <w:overflowPunct/>
        <w:topLinePunct w:val="0"/>
        <w:autoSpaceDE/>
        <w:autoSpaceDN/>
        <w:bidi w:val="0"/>
        <w:spacing w:line="400" w:lineRule="exact"/>
        <w:ind w:firstLine="480" w:firstLineChars="200"/>
        <w:textAlignment w:val="auto"/>
        <w:rPr>
          <w:rFonts w:hint="default" w:ascii="Times New Roman" w:hAnsi="Times New Roman" w:cs="Times New Roman" w:eastAsiaTheme="minorEastAsia"/>
          <w:color w:val="auto"/>
          <w:sz w:val="24"/>
          <w:szCs w:val="24"/>
          <w:lang w:val="zh-CN"/>
        </w:rPr>
      </w:pPr>
      <w:r>
        <w:rPr>
          <w:rFonts w:hint="default" w:ascii="Times New Roman" w:hAnsi="Times New Roman" w:cs="Times New Roman" w:eastAsiaTheme="minorEastAsia"/>
          <w:color w:val="auto"/>
          <w:sz w:val="24"/>
          <w:szCs w:val="24"/>
          <w:lang w:val="en-US" w:eastAsia="zh-CN"/>
        </w:rPr>
        <w:t>以上组合</w:t>
      </w:r>
      <w:r>
        <w:rPr>
          <w:rFonts w:hint="default" w:ascii="Times New Roman" w:hAnsi="Times New Roman" w:cs="Times New Roman" w:eastAsiaTheme="minorEastAsia"/>
          <w:color w:val="auto"/>
          <w:sz w:val="24"/>
          <w:szCs w:val="24"/>
          <w:lang w:val="zh-CN"/>
        </w:rPr>
        <w:t>采用</w:t>
      </w:r>
      <w:r>
        <w:rPr>
          <w:rFonts w:hint="default" w:ascii="Times New Roman" w:hAnsi="Times New Roman" w:cs="Times New Roman" w:eastAsiaTheme="minorEastAsia"/>
          <w:color w:val="auto"/>
          <w:sz w:val="24"/>
          <w:szCs w:val="24"/>
          <w:lang w:val="en-US" w:eastAsia="zh-CN"/>
        </w:rPr>
        <w:t>预期信用损失模型</w:t>
      </w:r>
      <w:r>
        <w:rPr>
          <w:rFonts w:hint="default" w:ascii="Times New Roman" w:hAnsi="Times New Roman" w:cs="Times New Roman" w:eastAsiaTheme="minorEastAsia"/>
          <w:color w:val="auto"/>
          <w:sz w:val="24"/>
          <w:szCs w:val="24"/>
          <w:lang w:val="zh-CN"/>
        </w:rPr>
        <w:t>计提坏账</w:t>
      </w:r>
      <w:r>
        <w:rPr>
          <w:rFonts w:hint="default" w:ascii="Times New Roman" w:hAnsi="Times New Roman" w:cs="Times New Roman" w:eastAsiaTheme="minorEastAsia"/>
          <w:color w:val="auto"/>
          <w:sz w:val="24"/>
          <w:szCs w:val="24"/>
          <w:lang w:val="en-US" w:eastAsia="zh-CN"/>
        </w:rPr>
        <w:t>准备</w:t>
      </w:r>
      <w:r>
        <w:rPr>
          <w:rFonts w:hint="default" w:ascii="Times New Roman" w:hAnsi="Times New Roman" w:cs="Times New Roman" w:eastAsiaTheme="minorEastAsia"/>
          <w:color w:val="auto"/>
          <w:sz w:val="24"/>
          <w:szCs w:val="24"/>
          <w:lang w:val="zh-CN"/>
        </w:rPr>
        <w:t>：</w:t>
      </w:r>
    </w:p>
    <w:tbl>
      <w:tblPr>
        <w:tblStyle w:val="12"/>
        <w:tblW w:w="4999" w:type="pct"/>
        <w:tblInd w:w="0" w:type="dxa"/>
        <w:tblLayout w:type="autofit"/>
        <w:tblCellMar>
          <w:top w:w="0" w:type="dxa"/>
          <w:left w:w="28" w:type="dxa"/>
          <w:bottom w:w="0" w:type="dxa"/>
          <w:right w:w="28" w:type="dxa"/>
        </w:tblCellMar>
      </w:tblPr>
      <w:tblGrid>
        <w:gridCol w:w="3204"/>
        <w:gridCol w:w="2519"/>
        <w:gridCol w:w="2637"/>
      </w:tblGrid>
      <w:tr>
        <w:tblPrEx>
          <w:tblCellMar>
            <w:top w:w="0" w:type="dxa"/>
            <w:left w:w="28" w:type="dxa"/>
            <w:bottom w:w="0" w:type="dxa"/>
            <w:right w:w="28" w:type="dxa"/>
          </w:tblCellMar>
        </w:tblPrEx>
        <w:trPr>
          <w:trHeight w:val="396" w:hRule="atLeast"/>
        </w:trPr>
        <w:tc>
          <w:tcPr>
            <w:tcW w:w="1916" w:type="pct"/>
            <w:tcBorders>
              <w:top w:val="single" w:color="auto" w:sz="4" w:space="0"/>
              <w:left w:val="single" w:color="auto" w:sz="4" w:space="0"/>
              <w:bottom w:val="nil"/>
              <w:right w:val="single" w:color="auto" w:sz="4" w:space="0"/>
            </w:tcBorders>
            <w:shd w:val="clear" w:color="auto" w:fill="D3D3D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账龄</w:t>
            </w:r>
          </w:p>
        </w:tc>
        <w:tc>
          <w:tcPr>
            <w:tcW w:w="1506" w:type="pct"/>
            <w:tcBorders>
              <w:top w:val="single" w:color="auto" w:sz="4" w:space="0"/>
              <w:left w:val="single" w:color="auto" w:sz="4" w:space="0"/>
              <w:bottom w:val="single" w:color="auto" w:sz="4" w:space="0"/>
              <w:right w:val="single" w:color="auto" w:sz="4" w:space="0"/>
            </w:tcBorders>
            <w:shd w:val="clear" w:color="auto" w:fill="D3D3D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核技术应用板块</w:t>
            </w:r>
          </w:p>
        </w:tc>
        <w:tc>
          <w:tcPr>
            <w:tcW w:w="1577" w:type="pct"/>
            <w:tcBorders>
              <w:top w:val="single" w:color="auto" w:sz="4" w:space="0"/>
              <w:left w:val="single" w:color="auto" w:sz="4" w:space="0"/>
              <w:bottom w:val="single" w:color="auto" w:sz="4" w:space="0"/>
              <w:right w:val="single" w:color="auto" w:sz="4" w:space="0"/>
            </w:tcBorders>
            <w:shd w:val="clear" w:color="auto" w:fill="D3D3D3"/>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其他业务板块</w:t>
            </w:r>
          </w:p>
        </w:tc>
      </w:tr>
      <w:tr>
        <w:tblPrEx>
          <w:tblCellMar>
            <w:top w:w="0" w:type="dxa"/>
            <w:left w:w="28" w:type="dxa"/>
            <w:bottom w:w="0" w:type="dxa"/>
            <w:right w:w="28" w:type="dxa"/>
          </w:tblCellMar>
        </w:tblPrEx>
        <w:trPr>
          <w:trHeight w:val="396" w:hRule="atLeast"/>
        </w:trPr>
        <w:tc>
          <w:tcPr>
            <w:tcW w:w="1916" w:type="pct"/>
            <w:tcBorders>
              <w:top w:val="single" w:color="auto" w:sz="4" w:space="0"/>
              <w:left w:val="single" w:color="auto" w:sz="4" w:space="0"/>
              <w:bottom w:val="single" w:color="auto" w:sz="4" w:space="0"/>
              <w:right w:val="single" w:color="auto" w:sz="4" w:space="0"/>
            </w:tcBorders>
            <w:shd w:val="clear" w:color="auto" w:fill="D3D3D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6个月以内</w:t>
            </w:r>
          </w:p>
        </w:tc>
        <w:tc>
          <w:tcPr>
            <w:tcW w:w="150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0</w:t>
            </w:r>
            <w:r>
              <w:rPr>
                <w:rFonts w:hint="default" w:ascii="Times New Roman" w:hAnsi="Times New Roman" w:cs="Times New Roman" w:eastAsiaTheme="minorEastAsia"/>
                <w:color w:val="auto"/>
                <w:sz w:val="21"/>
                <w:szCs w:val="21"/>
                <w:lang w:val="en-US" w:eastAsia="zh-CN"/>
              </w:rPr>
              <w:t>.00%</w:t>
            </w:r>
          </w:p>
        </w:tc>
        <w:tc>
          <w:tcPr>
            <w:tcW w:w="157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5</w:t>
            </w:r>
            <w:r>
              <w:rPr>
                <w:rFonts w:hint="default" w:ascii="Times New Roman" w:hAnsi="Times New Roman" w:cs="Times New Roman" w:eastAsiaTheme="minorEastAsia"/>
                <w:color w:val="auto"/>
                <w:sz w:val="21"/>
                <w:szCs w:val="21"/>
                <w:lang w:val="en-US" w:eastAsia="zh-CN"/>
              </w:rPr>
              <w:t>.00%</w:t>
            </w:r>
          </w:p>
        </w:tc>
      </w:tr>
      <w:tr>
        <w:tblPrEx>
          <w:tblCellMar>
            <w:top w:w="0" w:type="dxa"/>
            <w:left w:w="28" w:type="dxa"/>
            <w:bottom w:w="0" w:type="dxa"/>
            <w:right w:w="28" w:type="dxa"/>
          </w:tblCellMar>
        </w:tblPrEx>
        <w:trPr>
          <w:trHeight w:val="396" w:hRule="atLeast"/>
        </w:trPr>
        <w:tc>
          <w:tcPr>
            <w:tcW w:w="1916" w:type="pct"/>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6个月至1年（含1年）</w:t>
            </w:r>
          </w:p>
        </w:tc>
        <w:tc>
          <w:tcPr>
            <w:tcW w:w="150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5</w:t>
            </w:r>
            <w:r>
              <w:rPr>
                <w:rFonts w:hint="default" w:ascii="Times New Roman" w:hAnsi="Times New Roman" w:cs="Times New Roman" w:eastAsiaTheme="minorEastAsia"/>
                <w:color w:val="auto"/>
                <w:sz w:val="21"/>
                <w:szCs w:val="21"/>
                <w:lang w:val="en-US" w:eastAsia="zh-CN"/>
              </w:rPr>
              <w:t>.00%</w:t>
            </w:r>
          </w:p>
        </w:tc>
        <w:tc>
          <w:tcPr>
            <w:tcW w:w="157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5</w:t>
            </w:r>
            <w:r>
              <w:rPr>
                <w:rFonts w:hint="default" w:ascii="Times New Roman" w:hAnsi="Times New Roman" w:cs="Times New Roman" w:eastAsiaTheme="minorEastAsia"/>
                <w:color w:val="auto"/>
                <w:sz w:val="21"/>
                <w:szCs w:val="21"/>
                <w:lang w:val="en-US" w:eastAsia="zh-CN"/>
              </w:rPr>
              <w:t>.00%</w:t>
            </w:r>
          </w:p>
        </w:tc>
      </w:tr>
      <w:tr>
        <w:tblPrEx>
          <w:tblCellMar>
            <w:top w:w="0" w:type="dxa"/>
            <w:left w:w="28" w:type="dxa"/>
            <w:bottom w:w="0" w:type="dxa"/>
            <w:right w:w="28" w:type="dxa"/>
          </w:tblCellMar>
        </w:tblPrEx>
        <w:trPr>
          <w:trHeight w:val="396" w:hRule="atLeast"/>
        </w:trPr>
        <w:tc>
          <w:tcPr>
            <w:tcW w:w="1916" w:type="pct"/>
            <w:tcBorders>
              <w:top w:val="single" w:color="auto" w:sz="4" w:space="0"/>
              <w:left w:val="single" w:color="auto" w:sz="4" w:space="0"/>
              <w:bottom w:val="single" w:color="auto" w:sz="4" w:space="0"/>
              <w:right w:val="single" w:color="auto" w:sz="4" w:space="0"/>
            </w:tcBorders>
            <w:shd w:val="clear" w:color="auto" w:fill="D3D3D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1－2年</w:t>
            </w:r>
          </w:p>
        </w:tc>
        <w:tc>
          <w:tcPr>
            <w:tcW w:w="150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10</w:t>
            </w:r>
            <w:r>
              <w:rPr>
                <w:rFonts w:hint="default" w:ascii="Times New Roman" w:hAnsi="Times New Roman" w:cs="Times New Roman" w:eastAsiaTheme="minorEastAsia"/>
                <w:color w:val="auto"/>
                <w:sz w:val="21"/>
                <w:szCs w:val="21"/>
                <w:lang w:val="en-US" w:eastAsia="zh-CN"/>
              </w:rPr>
              <w:t>.00%</w:t>
            </w:r>
          </w:p>
        </w:tc>
        <w:tc>
          <w:tcPr>
            <w:tcW w:w="157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10</w:t>
            </w:r>
            <w:r>
              <w:rPr>
                <w:rFonts w:hint="default" w:ascii="Times New Roman" w:hAnsi="Times New Roman" w:cs="Times New Roman" w:eastAsiaTheme="minorEastAsia"/>
                <w:color w:val="auto"/>
                <w:sz w:val="21"/>
                <w:szCs w:val="21"/>
                <w:lang w:val="en-US" w:eastAsia="zh-CN"/>
              </w:rPr>
              <w:t>.00%</w:t>
            </w:r>
          </w:p>
        </w:tc>
      </w:tr>
      <w:tr>
        <w:tblPrEx>
          <w:tblCellMar>
            <w:top w:w="0" w:type="dxa"/>
            <w:left w:w="28" w:type="dxa"/>
            <w:bottom w:w="0" w:type="dxa"/>
            <w:right w:w="28" w:type="dxa"/>
          </w:tblCellMar>
        </w:tblPrEx>
        <w:trPr>
          <w:trHeight w:val="396" w:hRule="atLeast"/>
        </w:trPr>
        <w:tc>
          <w:tcPr>
            <w:tcW w:w="1916" w:type="pct"/>
            <w:tcBorders>
              <w:top w:val="single" w:color="auto" w:sz="4" w:space="0"/>
              <w:left w:val="single" w:color="auto" w:sz="4" w:space="0"/>
              <w:bottom w:val="single" w:color="auto" w:sz="4" w:space="0"/>
              <w:right w:val="single" w:color="auto" w:sz="4" w:space="0"/>
            </w:tcBorders>
            <w:shd w:val="clear" w:color="auto" w:fill="D3D3D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2－3年</w:t>
            </w:r>
          </w:p>
        </w:tc>
        <w:tc>
          <w:tcPr>
            <w:tcW w:w="150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30</w:t>
            </w:r>
            <w:r>
              <w:rPr>
                <w:rFonts w:hint="default" w:ascii="Times New Roman" w:hAnsi="Times New Roman" w:cs="Times New Roman" w:eastAsiaTheme="minorEastAsia"/>
                <w:color w:val="auto"/>
                <w:sz w:val="21"/>
                <w:szCs w:val="21"/>
                <w:lang w:val="en-US" w:eastAsia="zh-CN"/>
              </w:rPr>
              <w:t>.00%</w:t>
            </w:r>
          </w:p>
        </w:tc>
        <w:tc>
          <w:tcPr>
            <w:tcW w:w="157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20</w:t>
            </w:r>
            <w:r>
              <w:rPr>
                <w:rFonts w:hint="default" w:ascii="Times New Roman" w:hAnsi="Times New Roman" w:cs="Times New Roman" w:eastAsiaTheme="minorEastAsia"/>
                <w:color w:val="auto"/>
                <w:sz w:val="21"/>
                <w:szCs w:val="21"/>
                <w:lang w:val="en-US" w:eastAsia="zh-CN"/>
              </w:rPr>
              <w:t>.00%</w:t>
            </w:r>
          </w:p>
        </w:tc>
      </w:tr>
      <w:tr>
        <w:tblPrEx>
          <w:tblCellMar>
            <w:top w:w="0" w:type="dxa"/>
            <w:left w:w="28" w:type="dxa"/>
            <w:bottom w:w="0" w:type="dxa"/>
            <w:right w:w="28" w:type="dxa"/>
          </w:tblCellMar>
        </w:tblPrEx>
        <w:trPr>
          <w:trHeight w:val="396" w:hRule="atLeast"/>
        </w:trPr>
        <w:tc>
          <w:tcPr>
            <w:tcW w:w="1916" w:type="pct"/>
            <w:tcBorders>
              <w:top w:val="single" w:color="auto" w:sz="4" w:space="0"/>
              <w:left w:val="single" w:color="auto" w:sz="4" w:space="0"/>
              <w:bottom w:val="single" w:color="auto" w:sz="4" w:space="0"/>
              <w:right w:val="single" w:color="auto" w:sz="4" w:space="0"/>
            </w:tcBorders>
            <w:shd w:val="clear" w:color="auto" w:fill="D3D3D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3－4年</w:t>
            </w:r>
          </w:p>
        </w:tc>
        <w:tc>
          <w:tcPr>
            <w:tcW w:w="150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50</w:t>
            </w:r>
            <w:r>
              <w:rPr>
                <w:rFonts w:hint="default" w:ascii="Times New Roman" w:hAnsi="Times New Roman" w:cs="Times New Roman" w:eastAsiaTheme="minorEastAsia"/>
                <w:color w:val="auto"/>
                <w:sz w:val="21"/>
                <w:szCs w:val="21"/>
                <w:lang w:val="en-US" w:eastAsia="zh-CN"/>
              </w:rPr>
              <w:t>.00%</w:t>
            </w:r>
          </w:p>
        </w:tc>
        <w:tc>
          <w:tcPr>
            <w:tcW w:w="157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30</w:t>
            </w:r>
            <w:r>
              <w:rPr>
                <w:rFonts w:hint="default" w:ascii="Times New Roman" w:hAnsi="Times New Roman" w:cs="Times New Roman" w:eastAsiaTheme="minorEastAsia"/>
                <w:color w:val="auto"/>
                <w:sz w:val="21"/>
                <w:szCs w:val="21"/>
                <w:lang w:val="en-US" w:eastAsia="zh-CN"/>
              </w:rPr>
              <w:t>.00%</w:t>
            </w:r>
          </w:p>
        </w:tc>
      </w:tr>
      <w:tr>
        <w:tblPrEx>
          <w:tblCellMar>
            <w:top w:w="0" w:type="dxa"/>
            <w:left w:w="28" w:type="dxa"/>
            <w:bottom w:w="0" w:type="dxa"/>
            <w:right w:w="28" w:type="dxa"/>
          </w:tblCellMar>
        </w:tblPrEx>
        <w:trPr>
          <w:trHeight w:val="396" w:hRule="atLeast"/>
        </w:trPr>
        <w:tc>
          <w:tcPr>
            <w:tcW w:w="1916" w:type="pct"/>
            <w:tcBorders>
              <w:top w:val="single" w:color="auto" w:sz="4" w:space="0"/>
              <w:left w:val="single" w:color="auto" w:sz="4" w:space="0"/>
              <w:bottom w:val="single" w:color="auto" w:sz="4" w:space="0"/>
              <w:right w:val="single" w:color="auto" w:sz="4" w:space="0"/>
            </w:tcBorders>
            <w:shd w:val="clear" w:color="auto" w:fill="D3D3D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4－5年</w:t>
            </w:r>
          </w:p>
        </w:tc>
        <w:tc>
          <w:tcPr>
            <w:tcW w:w="150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80</w:t>
            </w:r>
            <w:r>
              <w:rPr>
                <w:rFonts w:hint="default" w:ascii="Times New Roman" w:hAnsi="Times New Roman" w:cs="Times New Roman" w:eastAsiaTheme="minorEastAsia"/>
                <w:color w:val="auto"/>
                <w:sz w:val="21"/>
                <w:szCs w:val="21"/>
                <w:lang w:val="en-US" w:eastAsia="zh-CN"/>
              </w:rPr>
              <w:t>.00%</w:t>
            </w:r>
          </w:p>
        </w:tc>
        <w:tc>
          <w:tcPr>
            <w:tcW w:w="157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50</w:t>
            </w:r>
            <w:r>
              <w:rPr>
                <w:rFonts w:hint="default" w:ascii="Times New Roman" w:hAnsi="Times New Roman" w:cs="Times New Roman" w:eastAsiaTheme="minorEastAsia"/>
                <w:color w:val="auto"/>
                <w:sz w:val="21"/>
                <w:szCs w:val="21"/>
                <w:lang w:val="en-US" w:eastAsia="zh-CN"/>
              </w:rPr>
              <w:t>.00%</w:t>
            </w:r>
          </w:p>
        </w:tc>
      </w:tr>
      <w:tr>
        <w:tblPrEx>
          <w:tblCellMar>
            <w:top w:w="0" w:type="dxa"/>
            <w:left w:w="28" w:type="dxa"/>
            <w:bottom w:w="0" w:type="dxa"/>
            <w:right w:w="28" w:type="dxa"/>
          </w:tblCellMar>
        </w:tblPrEx>
        <w:trPr>
          <w:trHeight w:val="406" w:hRule="atLeast"/>
        </w:trPr>
        <w:tc>
          <w:tcPr>
            <w:tcW w:w="1916" w:type="pct"/>
            <w:tcBorders>
              <w:top w:val="single" w:color="auto" w:sz="4" w:space="0"/>
              <w:left w:val="single" w:color="auto" w:sz="4" w:space="0"/>
              <w:bottom w:val="single" w:color="auto" w:sz="4" w:space="0"/>
              <w:right w:val="single" w:color="auto" w:sz="4" w:space="0"/>
            </w:tcBorders>
            <w:shd w:val="clear" w:color="auto" w:fill="D3D3D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5年以上</w:t>
            </w:r>
          </w:p>
        </w:tc>
        <w:tc>
          <w:tcPr>
            <w:tcW w:w="150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100</w:t>
            </w:r>
            <w:r>
              <w:rPr>
                <w:rFonts w:hint="default" w:ascii="Times New Roman" w:hAnsi="Times New Roman" w:cs="Times New Roman" w:eastAsiaTheme="minorEastAsia"/>
                <w:color w:val="auto"/>
                <w:sz w:val="21"/>
                <w:szCs w:val="21"/>
                <w:lang w:val="en-US" w:eastAsia="zh-CN"/>
              </w:rPr>
              <w:t>.00%</w:t>
            </w:r>
          </w:p>
        </w:tc>
        <w:tc>
          <w:tcPr>
            <w:tcW w:w="157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360"/>
              <w:jc w:val="right"/>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100</w:t>
            </w:r>
            <w:r>
              <w:rPr>
                <w:rFonts w:hint="default" w:ascii="Times New Roman" w:hAnsi="Times New Roman" w:cs="Times New Roman" w:eastAsiaTheme="minorEastAsia"/>
                <w:color w:val="auto"/>
                <w:sz w:val="21"/>
                <w:szCs w:val="21"/>
                <w:lang w:val="en-US" w:eastAsia="zh-CN"/>
              </w:rPr>
              <w:t>.00%</w:t>
            </w:r>
          </w:p>
        </w:tc>
      </w:tr>
    </w:tbl>
    <w:p>
      <w:pPr>
        <w:numPr>
          <w:ilvl w:val="0"/>
          <w:numId w:val="2"/>
        </w:numPr>
        <w:spacing w:before="313" w:beforeLines="100" w:line="360" w:lineRule="auto"/>
        <w:ind w:firstLine="482" w:firstLineChars="200"/>
        <w:rPr>
          <w:rFonts w:hint="eastAsia" w:ascii="Times New Roman" w:hAnsi="Times New Roman" w:eastAsia="宋体" w:cs="Times New Roman"/>
          <w:b/>
          <w:bCs w:val="0"/>
          <w:color w:val="auto"/>
          <w:kern w:val="0"/>
          <w:sz w:val="24"/>
          <w:szCs w:val="24"/>
          <w:lang w:val="en-US" w:eastAsia="zh-CN"/>
        </w:rPr>
      </w:pPr>
      <w:r>
        <w:rPr>
          <w:rFonts w:hint="eastAsia" w:ascii="Times New Roman" w:hAnsi="Times New Roman" w:eastAsia="宋体" w:cs="Times New Roman"/>
          <w:b/>
          <w:bCs w:val="0"/>
          <w:color w:val="auto"/>
          <w:kern w:val="0"/>
          <w:sz w:val="24"/>
          <w:szCs w:val="24"/>
          <w:lang w:val="en-US" w:eastAsia="zh-CN"/>
        </w:rPr>
        <w:t>应收账款坏账准备计提情况</w:t>
      </w:r>
    </w:p>
    <w:p>
      <w:pPr>
        <w:numPr>
          <w:ilvl w:val="0"/>
          <w:numId w:val="0"/>
        </w:numPr>
        <w:spacing w:line="360" w:lineRule="auto"/>
        <w:jc w:val="right"/>
        <w:rPr>
          <w:rFonts w:hint="eastAsia" w:ascii="Times New Roman" w:hAnsi="Times New Roman" w:eastAsia="宋体" w:cs="Times New Roman"/>
          <w:b w:val="0"/>
          <w:bCs/>
          <w:color w:val="auto"/>
          <w:kern w:val="0"/>
          <w:sz w:val="15"/>
          <w:szCs w:val="15"/>
          <w:lang w:val="en-US" w:eastAsia="zh-CN"/>
        </w:rPr>
      </w:pPr>
      <w:r>
        <w:rPr>
          <w:rFonts w:hint="eastAsia" w:ascii="Times New Roman" w:hAnsi="Times New Roman" w:eastAsia="宋体" w:cs="Times New Roman"/>
          <w:b w:val="0"/>
          <w:bCs/>
          <w:color w:val="auto"/>
          <w:kern w:val="0"/>
          <w:sz w:val="15"/>
          <w:szCs w:val="15"/>
          <w:lang w:val="en-US" w:eastAsia="zh-CN"/>
        </w:rPr>
        <w:t>单位：元</w:t>
      </w:r>
    </w:p>
    <w:tbl>
      <w:tblPr>
        <w:tblStyle w:val="35"/>
        <w:tblW w:w="4924" w:type="pct"/>
        <w:tblInd w:w="127"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68"/>
        <w:gridCol w:w="1280"/>
        <w:gridCol w:w="992"/>
        <w:gridCol w:w="1160"/>
        <w:gridCol w:w="1340"/>
        <w:gridCol w:w="1140"/>
        <w:gridCol w:w="81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tblHeader/>
        </w:trPr>
        <w:tc>
          <w:tcPr>
            <w:tcW w:w="1668" w:type="dxa"/>
            <w:vMerge w:val="restar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类别</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上年年末余额</w:t>
            </w:r>
          </w:p>
        </w:tc>
        <w:tc>
          <w:tcPr>
            <w:tcW w:w="4632" w:type="dxa"/>
            <w:gridSpan w:val="4"/>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本期变动金额</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color w:val="000000"/>
                <w:sz w:val="21"/>
                <w:szCs w:val="21"/>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计提</w:t>
            </w:r>
          </w:p>
        </w:tc>
        <w:tc>
          <w:tcPr>
            <w:tcW w:w="116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收回或转回</w:t>
            </w:r>
          </w:p>
        </w:tc>
        <w:tc>
          <w:tcPr>
            <w:tcW w:w="134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转销或核销</w:t>
            </w:r>
          </w:p>
        </w:tc>
        <w:tc>
          <w:tcPr>
            <w:tcW w:w="114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其他变动</w:t>
            </w:r>
          </w:p>
        </w:tc>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color w:val="000000"/>
                <w:sz w:val="21"/>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lef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按单项计提坏账准备</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229,587,118.51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8,572,310.15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9,465,581.63</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43,621,465.47</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185,072,381.56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lef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按组合计提坏账准备</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32,252,242.80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4,943,382.95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1,541,256.63</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1,978,110.92</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37,632,480.04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合计</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261,839,361.31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13,515,693.10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9,465,581.63</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45,162,722.10</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1,978,110.92</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222,704,861.60</w:t>
            </w:r>
          </w:p>
        </w:tc>
      </w:tr>
    </w:tbl>
    <w:p>
      <w:pPr>
        <w:spacing w:line="360" w:lineRule="auto"/>
        <w:ind w:firstLine="482" w:firstLineChars="200"/>
        <w:rPr>
          <w:b/>
          <w:bCs/>
          <w:color w:val="auto"/>
          <w:kern w:val="0"/>
          <w:sz w:val="24"/>
          <w:szCs w:val="24"/>
          <w:lang w:val="en-GB"/>
        </w:rPr>
      </w:pPr>
      <w:r>
        <w:rPr>
          <w:rFonts w:hint="eastAsia"/>
          <w:b/>
          <w:bCs/>
          <w:color w:val="auto"/>
          <w:kern w:val="0"/>
          <w:sz w:val="24"/>
          <w:szCs w:val="24"/>
          <w:lang w:val="en-GB"/>
        </w:rPr>
        <w:t>（二）</w:t>
      </w:r>
      <w:r>
        <w:rPr>
          <w:b/>
          <w:bCs/>
          <w:color w:val="auto"/>
          <w:kern w:val="0"/>
          <w:sz w:val="24"/>
          <w:szCs w:val="24"/>
          <w:lang w:val="en-GB"/>
        </w:rPr>
        <w:t>其他应收款坏账准备</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1、本期计提、转回或收回的坏账准备情况</w:t>
      </w:r>
    </w:p>
    <w:p>
      <w:pPr>
        <w:spacing w:line="360" w:lineRule="auto"/>
        <w:ind w:firstLine="300" w:firstLineChars="200"/>
        <w:jc w:val="right"/>
        <w:rPr>
          <w:rFonts w:hint="eastAsia" w:ascii="Times New Roman" w:hAnsi="Times New Roman" w:eastAsia="宋体" w:cs="Times New Roman"/>
          <w:bCs/>
          <w:color w:val="auto"/>
          <w:kern w:val="0"/>
          <w:sz w:val="15"/>
          <w:szCs w:val="15"/>
          <w:lang w:val="en-US" w:eastAsia="zh-CN"/>
        </w:rPr>
      </w:pPr>
      <w:r>
        <w:rPr>
          <w:rFonts w:hint="eastAsia" w:ascii="Times New Roman" w:hAnsi="Times New Roman" w:eastAsia="宋体" w:cs="Times New Roman"/>
          <w:bCs/>
          <w:color w:val="auto"/>
          <w:kern w:val="0"/>
          <w:sz w:val="15"/>
          <w:szCs w:val="15"/>
          <w:lang w:val="en-US" w:eastAsia="zh-CN"/>
        </w:rPr>
        <w:t>单位：元</w:t>
      </w:r>
    </w:p>
    <w:tbl>
      <w:tblPr>
        <w:tblStyle w:val="35"/>
        <w:tblW w:w="4919" w:type="pct"/>
        <w:tblInd w:w="137"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70"/>
        <w:gridCol w:w="944"/>
        <w:gridCol w:w="1251"/>
        <w:gridCol w:w="1251"/>
        <w:gridCol w:w="1341"/>
        <w:gridCol w:w="1086"/>
        <w:gridCol w:w="134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170" w:type="dxa"/>
            <w:vMerge w:val="restar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类别</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上年年末余额</w:t>
            </w:r>
          </w:p>
        </w:tc>
        <w:tc>
          <w:tcPr>
            <w:tcW w:w="4929" w:type="dxa"/>
            <w:gridSpan w:val="4"/>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本期变动金额</w:t>
            </w:r>
          </w:p>
        </w:tc>
        <w:tc>
          <w:tcPr>
            <w:tcW w:w="1341" w:type="dxa"/>
            <w:vMerge w:val="restar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blHeader/>
        </w:trPr>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color w:val="000000"/>
                <w:szCs w:val="21"/>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color w:val="000000"/>
                <w:szCs w:val="21"/>
              </w:rPr>
            </w:pPr>
          </w:p>
        </w:tc>
        <w:tc>
          <w:tcPr>
            <w:tcW w:w="125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计提</w:t>
            </w:r>
          </w:p>
        </w:tc>
        <w:tc>
          <w:tcPr>
            <w:tcW w:w="125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收回或转回</w:t>
            </w:r>
          </w:p>
        </w:tc>
        <w:tc>
          <w:tcPr>
            <w:tcW w:w="134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转销或核销</w:t>
            </w:r>
          </w:p>
        </w:tc>
        <w:tc>
          <w:tcPr>
            <w:tcW w:w="1086"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其他变动</w:t>
            </w:r>
          </w:p>
        </w:tc>
        <w:tc>
          <w:tcPr>
            <w:tcW w:w="1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color w:val="0000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lef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按单项计提坏账准备</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589,317,529.88</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26,243,013.87</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16,958,726.50</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122,521,096.70</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476,080,720.55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lef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按组合计提坏账准备</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2,503,084.37</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-510,516.60</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-870,036.78</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1,122,530.99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cente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合计</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591,820,614.25</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25,732,497.27</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16,958,726.50</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122,521,096.70</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-870,036.78</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00" w:lineRule="atLeast"/>
              <w:ind w:left="0" w:right="0"/>
              <w:jc w:val="right"/>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477,203,251.54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主要说明如下：</w:t>
      </w:r>
    </w:p>
    <w:p>
      <w:pPr>
        <w:numPr>
          <w:ilvl w:val="0"/>
          <w:numId w:val="0"/>
        </w:numPr>
        <w:spacing w:line="360" w:lineRule="auto"/>
        <w:ind w:left="0" w:firstLine="480" w:firstLineChars="200"/>
        <w:jc w:val="both"/>
        <w:rPr>
          <w:rFonts w:hint="default" w:eastAsia="宋体"/>
          <w:bCs/>
          <w:color w:val="auto"/>
          <w:kern w:val="0"/>
          <w:sz w:val="24"/>
          <w:szCs w:val="24"/>
          <w:lang w:eastAsia="zh-CN"/>
        </w:rPr>
      </w:pPr>
      <w:r>
        <w:rPr>
          <w:rFonts w:hint="default" w:ascii="Times New Roman" w:hAnsi="Times New Roman" w:eastAsia="宋体" w:cs="Times New Roman"/>
          <w:bCs/>
          <w:color w:val="auto"/>
          <w:kern w:val="0"/>
          <w:sz w:val="24"/>
          <w:szCs w:val="24"/>
          <w:lang w:val="en-US" w:eastAsia="zh-CN"/>
        </w:rPr>
        <w:t>①本年计提大连中亿国际贸易有限公司坏账准备1,369.62万元和通榆新域农副产品加工有限公司坏账准备546.38万元，两笔款项应收账款合计8,045.25万元。</w:t>
      </w:r>
      <w:r>
        <w:rPr>
          <w:rFonts w:hint="default" w:cs="Times New Roman"/>
          <w:bCs/>
          <w:color w:val="auto"/>
          <w:kern w:val="0"/>
          <w:sz w:val="24"/>
          <w:szCs w:val="24"/>
          <w:lang w:val="en-US" w:eastAsia="zh-CN"/>
        </w:rPr>
        <w:t>上述两笔应收款为郭明案合同诈骗涉案款项</w:t>
      </w:r>
      <w:r>
        <w:rPr>
          <w:rFonts w:hint="default" w:ascii="Times New Roman" w:hAnsi="Times New Roman" w:cs="Times New Roman"/>
          <w:bCs/>
          <w:color w:val="auto"/>
          <w:kern w:val="0"/>
          <w:sz w:val="24"/>
          <w:szCs w:val="24"/>
        </w:rPr>
        <w:t>。</w:t>
      </w:r>
      <w:r>
        <w:rPr>
          <w:rFonts w:hint="default" w:eastAsia="宋体"/>
          <w:bCs/>
          <w:color w:val="auto"/>
          <w:kern w:val="0"/>
          <w:sz w:val="24"/>
          <w:szCs w:val="24"/>
        </w:rPr>
        <w:t>2024年11月公司代理律师与大连</w:t>
      </w:r>
      <w:r>
        <w:rPr>
          <w:rFonts w:hint="eastAsia"/>
          <w:bCs/>
          <w:color w:val="auto"/>
          <w:kern w:val="0"/>
          <w:sz w:val="24"/>
          <w:szCs w:val="24"/>
          <w:lang w:val="en-US" w:eastAsia="zh-CN"/>
        </w:rPr>
        <w:t>市</w:t>
      </w:r>
      <w:r>
        <w:rPr>
          <w:rFonts w:hint="default" w:eastAsia="宋体"/>
          <w:bCs/>
          <w:color w:val="auto"/>
          <w:kern w:val="0"/>
          <w:sz w:val="24"/>
          <w:szCs w:val="24"/>
        </w:rPr>
        <w:t>中级人民法院法官以及中级人民法院委托的测绘和评估机构人员组成的工作组共同进行现场调查，根据调研结果，预计可收回金额约1,111.98万元，因此，2024年对上述两家公司其他应收款合计计提坏账准备1,916.00万元（2024年初已累计计提坏账准备为5,017.27万元）</w:t>
      </w:r>
      <w:r>
        <w:rPr>
          <w:rFonts w:hint="default" w:eastAsia="宋体"/>
          <w:bCs/>
          <w:color w:val="auto"/>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0"/>
          <w:sz w:val="24"/>
          <w:szCs w:val="24"/>
          <w:lang w:val="en-US" w:eastAsia="zh-CN"/>
        </w:rPr>
      </w:pPr>
      <w:r>
        <w:rPr>
          <w:rFonts w:hint="default" w:ascii="Times New Roman" w:hAnsi="Times New Roman" w:eastAsia="宋体" w:cs="Times New Roman"/>
          <w:bCs/>
          <w:color w:val="auto"/>
          <w:kern w:val="0"/>
          <w:sz w:val="24"/>
          <w:szCs w:val="24"/>
          <w:lang w:val="en-US" w:eastAsia="zh-CN"/>
        </w:rPr>
        <w:t>②本年单项转回的坏账准备为</w:t>
      </w:r>
      <w:r>
        <w:rPr>
          <w:rFonts w:hint="eastAsia" w:cs="Times New Roman"/>
          <w:bCs/>
          <w:color w:val="auto"/>
          <w:kern w:val="0"/>
          <w:sz w:val="24"/>
          <w:szCs w:val="24"/>
          <w:lang w:val="en-US" w:eastAsia="zh-CN"/>
        </w:rPr>
        <w:t>1,695.87</w:t>
      </w:r>
      <w:r>
        <w:rPr>
          <w:rFonts w:hint="default" w:ascii="Times New Roman" w:hAnsi="Times New Roman" w:eastAsia="宋体" w:cs="Times New Roman"/>
          <w:bCs/>
          <w:color w:val="auto"/>
          <w:kern w:val="0"/>
          <w:sz w:val="24"/>
          <w:szCs w:val="24"/>
          <w:lang w:val="en-US" w:eastAsia="zh-CN"/>
        </w:rPr>
        <w:t>万元，主要为营口国合汇邦房地产开发有限公司和大连国合汇邦房地产投资管理有限公司本年收回的其他应收款</w:t>
      </w:r>
      <w:r>
        <w:rPr>
          <w:rFonts w:hint="eastAsia" w:cs="Times New Roman"/>
          <w:bCs/>
          <w:color w:val="auto"/>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kern w:val="0"/>
          <w:sz w:val="24"/>
          <w:szCs w:val="24"/>
          <w:lang w:val="en-US" w:eastAsia="zh-CN"/>
        </w:rPr>
      </w:pPr>
      <w:r>
        <w:rPr>
          <w:rFonts w:hint="default" w:ascii="Times New Roman" w:hAnsi="Times New Roman" w:eastAsia="宋体" w:cs="Times New Roman"/>
          <w:bCs/>
          <w:color w:val="auto"/>
          <w:kern w:val="0"/>
          <w:sz w:val="24"/>
          <w:szCs w:val="24"/>
          <w:lang w:val="en-US" w:eastAsia="zh-CN"/>
        </w:rPr>
        <w:t>③本年单项核销的坏账准备为12,252.11万元，</w:t>
      </w:r>
      <w:r>
        <w:rPr>
          <w:rFonts w:hint="default" w:ascii="Times New Roman" w:hAnsi="Times New Roman" w:cs="Times New Roman"/>
          <w:bCs/>
          <w:color w:val="auto"/>
          <w:kern w:val="0"/>
          <w:sz w:val="24"/>
          <w:szCs w:val="24"/>
          <w:lang w:val="en-US" w:eastAsia="zh-CN"/>
        </w:rPr>
        <w:t>主要是</w:t>
      </w:r>
      <w:r>
        <w:rPr>
          <w:rFonts w:hint="default" w:ascii="Times New Roman" w:hAnsi="Times New Roman" w:eastAsia="宋体" w:cs="Times New Roman"/>
          <w:bCs/>
          <w:color w:val="auto"/>
          <w:kern w:val="0"/>
          <w:sz w:val="24"/>
          <w:szCs w:val="24"/>
          <w:lang w:val="en-US" w:eastAsia="zh-CN"/>
        </w:rPr>
        <w:t>营口国合汇邦房地产开发有限公司因</w:t>
      </w:r>
      <w:r>
        <w:rPr>
          <w:rFonts w:hint="eastAsia" w:cs="Times New Roman"/>
          <w:bCs/>
          <w:color w:val="auto"/>
          <w:kern w:val="0"/>
          <w:sz w:val="24"/>
          <w:szCs w:val="24"/>
          <w:lang w:val="en-US" w:eastAsia="zh-CN"/>
        </w:rPr>
        <w:t>破产</w:t>
      </w:r>
      <w:r>
        <w:rPr>
          <w:rFonts w:hint="default" w:ascii="Times New Roman" w:hAnsi="Times New Roman" w:eastAsia="宋体" w:cs="Times New Roman"/>
          <w:bCs/>
          <w:color w:val="auto"/>
          <w:kern w:val="0"/>
          <w:sz w:val="24"/>
          <w:szCs w:val="24"/>
          <w:lang w:val="en-US" w:eastAsia="zh-CN"/>
        </w:rPr>
        <w:t>清算</w:t>
      </w:r>
      <w:r>
        <w:rPr>
          <w:rFonts w:hint="eastAsia" w:cs="Times New Roman"/>
          <w:bCs/>
          <w:color w:val="auto"/>
          <w:kern w:val="0"/>
          <w:sz w:val="24"/>
          <w:szCs w:val="24"/>
          <w:lang w:val="en-US" w:eastAsia="zh-CN"/>
        </w:rPr>
        <w:t>已注销且无可执行财产而</w:t>
      </w:r>
      <w:r>
        <w:rPr>
          <w:rFonts w:hint="default" w:ascii="Times New Roman" w:hAnsi="Times New Roman" w:eastAsia="宋体" w:cs="Times New Roman"/>
          <w:bCs/>
          <w:color w:val="auto"/>
          <w:kern w:val="0"/>
          <w:sz w:val="24"/>
          <w:szCs w:val="24"/>
          <w:lang w:val="en-US" w:eastAsia="zh-CN"/>
        </w:rPr>
        <w:t>核销</w:t>
      </w:r>
      <w:r>
        <w:rPr>
          <w:rFonts w:hint="eastAsia" w:cs="Times New Roman"/>
          <w:bCs/>
          <w:color w:val="auto"/>
          <w:kern w:val="0"/>
          <w:sz w:val="24"/>
          <w:szCs w:val="24"/>
          <w:lang w:val="en-US" w:eastAsia="zh-CN"/>
        </w:rPr>
        <w:t>的</w:t>
      </w:r>
      <w:r>
        <w:rPr>
          <w:rFonts w:hint="default" w:ascii="Times New Roman" w:hAnsi="Times New Roman" w:eastAsia="宋体" w:cs="Times New Roman"/>
          <w:bCs/>
          <w:color w:val="auto"/>
          <w:kern w:val="0"/>
          <w:sz w:val="24"/>
          <w:szCs w:val="24"/>
          <w:lang w:val="en-US" w:eastAsia="zh-CN"/>
        </w:rPr>
        <w:t>坏账准备12,175.75万元。</w:t>
      </w:r>
    </w:p>
    <w:p>
      <w:pPr>
        <w:spacing w:line="360" w:lineRule="auto"/>
        <w:ind w:firstLine="482" w:firstLineChars="200"/>
        <w:rPr>
          <w:rFonts w:hint="eastAsia"/>
          <w:b/>
          <w:bCs/>
          <w:color w:val="auto"/>
          <w:kern w:val="0"/>
          <w:sz w:val="24"/>
          <w:szCs w:val="24"/>
          <w:lang w:val="en-GB"/>
        </w:rPr>
      </w:pPr>
      <w:r>
        <w:rPr>
          <w:rFonts w:hint="eastAsia"/>
          <w:b/>
          <w:bCs/>
          <w:color w:val="auto"/>
          <w:kern w:val="0"/>
          <w:sz w:val="24"/>
          <w:szCs w:val="24"/>
          <w:lang w:val="en-GB"/>
        </w:rPr>
        <w:t>（三）一年内到期的非流动资产坏账损失</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坏账准备增加12.84万元。公司长期应收款主要是业务分期收款销售商品，其中加速器板块业务产生分期收款主要是为开拓市场一般与客户签订较期限长的合同，产生应收款回款期相应延长导致，部分款项未来一年内到期，该部分长期应收款重分类至一年内到期的非流动资产，相应计提的坏账准备计入一年内到期的非流动资产坏账损失。</w:t>
      </w:r>
    </w:p>
    <w:p>
      <w:pPr>
        <w:spacing w:line="360" w:lineRule="auto"/>
        <w:ind w:firstLine="482" w:firstLineChars="200"/>
        <w:rPr>
          <w:rFonts w:hint="default" w:ascii="Times New Roman" w:hAnsi="Times New Roman" w:eastAsia="宋体" w:cs="Times New Roman"/>
          <w:b/>
          <w:bCs w:val="0"/>
          <w:color w:val="auto"/>
          <w:kern w:val="0"/>
          <w:sz w:val="24"/>
          <w:szCs w:val="24"/>
          <w:lang w:val="en-US" w:eastAsia="zh-CN"/>
        </w:rPr>
      </w:pPr>
      <w:r>
        <w:rPr>
          <w:rFonts w:hint="eastAsia" w:ascii="Times New Roman" w:hAnsi="Times New Roman" w:eastAsia="宋体" w:cs="Times New Roman"/>
          <w:b/>
          <w:bCs w:val="0"/>
          <w:color w:val="auto"/>
          <w:kern w:val="0"/>
          <w:sz w:val="24"/>
          <w:szCs w:val="24"/>
          <w:lang w:val="en-US" w:eastAsia="zh-CN"/>
        </w:rPr>
        <w:t>（</w:t>
      </w:r>
      <w:r>
        <w:rPr>
          <w:rFonts w:hint="eastAsia" w:cs="Times New Roman"/>
          <w:b/>
          <w:bCs w:val="0"/>
          <w:color w:val="auto"/>
          <w:kern w:val="0"/>
          <w:sz w:val="24"/>
          <w:szCs w:val="24"/>
          <w:lang w:val="en-US" w:eastAsia="zh-CN"/>
        </w:rPr>
        <w:t>四</w:t>
      </w:r>
      <w:r>
        <w:rPr>
          <w:rFonts w:hint="eastAsia" w:ascii="Times New Roman" w:hAnsi="Times New Roman" w:eastAsia="宋体" w:cs="Times New Roman"/>
          <w:b/>
          <w:bCs w:val="0"/>
          <w:color w:val="auto"/>
          <w:kern w:val="0"/>
          <w:sz w:val="24"/>
          <w:szCs w:val="24"/>
          <w:lang w:val="en-US" w:eastAsia="zh-CN"/>
        </w:rPr>
        <w:t>）商誉减值损失</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商誉减值准备增加6,345.83万元，计提商誉减值的主要原因是市场竞争加剧或处于市场开拓期，部分子公司收入与利润不及预期。其中中广核达胜加速器技术有限公司苏州分公司本年计提商誉减值金额536.55万元；丹东华日理学电气有限公司本年计提商誉减值金额240.32万元；上海金凯电子辐照有限公司本年计提商誉减值金额679.91万元；江阴爱科森博顿聚合体有限公司本年计提商誉减值金额2,110.03万元；中广核高新核材（河北）有限公司本年计提商誉减值金额2,410.21万</w:t>
      </w:r>
      <w:r>
        <w:rPr>
          <w:rFonts w:hint="eastAsia" w:cs="Times New Roman"/>
          <w:bCs/>
          <w:color w:val="auto"/>
          <w:kern w:val="0"/>
          <w:sz w:val="24"/>
          <w:szCs w:val="24"/>
          <w:lang w:val="en-US" w:eastAsia="zh-CN"/>
        </w:rPr>
        <w:t>元</w:t>
      </w:r>
      <w:r>
        <w:rPr>
          <w:rFonts w:hint="eastAsia" w:ascii="Times New Roman" w:hAnsi="Times New Roman" w:eastAsia="宋体" w:cs="Times New Roman"/>
          <w:bCs/>
          <w:color w:val="auto"/>
          <w:kern w:val="0"/>
          <w:sz w:val="24"/>
          <w:szCs w:val="24"/>
          <w:lang w:val="en-US" w:eastAsia="zh-CN"/>
        </w:rPr>
        <w:t>；中广核俊尔新材料有限公司本年计提商誉减值金额319.35万元；中广核达胜科技有限公司本年计提商誉减值金额49.44万元。</w:t>
      </w:r>
    </w:p>
    <w:p>
      <w:pPr>
        <w:spacing w:line="360" w:lineRule="auto"/>
        <w:ind w:firstLine="482" w:firstLineChars="200"/>
        <w:rPr>
          <w:rFonts w:hint="eastAsia" w:ascii="Times New Roman" w:hAnsi="Times New Roman" w:eastAsia="宋体" w:cs="Times New Roman"/>
          <w:b/>
          <w:bCs w:val="0"/>
          <w:color w:val="auto"/>
          <w:kern w:val="0"/>
          <w:sz w:val="24"/>
          <w:szCs w:val="24"/>
          <w:lang w:val="en-US" w:eastAsia="zh-CN"/>
        </w:rPr>
      </w:pPr>
      <w:r>
        <w:rPr>
          <w:rFonts w:hint="eastAsia" w:ascii="Times New Roman" w:hAnsi="Times New Roman" w:eastAsia="宋体" w:cs="Times New Roman"/>
          <w:b/>
          <w:bCs w:val="0"/>
          <w:color w:val="auto"/>
          <w:kern w:val="0"/>
          <w:sz w:val="24"/>
          <w:szCs w:val="24"/>
          <w:lang w:val="en-US" w:eastAsia="zh-CN"/>
        </w:rPr>
        <w:t>（</w:t>
      </w:r>
      <w:r>
        <w:rPr>
          <w:rFonts w:hint="eastAsia" w:cs="Times New Roman"/>
          <w:b/>
          <w:bCs w:val="0"/>
          <w:color w:val="auto"/>
          <w:kern w:val="0"/>
          <w:sz w:val="24"/>
          <w:szCs w:val="24"/>
          <w:lang w:val="en-US" w:eastAsia="zh-CN"/>
        </w:rPr>
        <w:t>五</w:t>
      </w:r>
      <w:r>
        <w:rPr>
          <w:rFonts w:hint="eastAsia" w:ascii="Times New Roman" w:hAnsi="Times New Roman" w:eastAsia="宋体" w:cs="Times New Roman"/>
          <w:b/>
          <w:bCs w:val="0"/>
          <w:color w:val="auto"/>
          <w:kern w:val="0"/>
          <w:sz w:val="24"/>
          <w:szCs w:val="24"/>
          <w:lang w:val="en-US" w:eastAsia="zh-CN"/>
        </w:rPr>
        <w:t>）存货跌价损失</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bidi="ar"/>
        </w:rPr>
      </w:pPr>
      <w:r>
        <w:rPr>
          <w:rFonts w:hint="eastAsia" w:ascii="Times New Roman" w:hAnsi="Times New Roman" w:eastAsia="宋体" w:cs="Times New Roman"/>
          <w:bCs/>
          <w:color w:val="auto"/>
          <w:kern w:val="0"/>
          <w:sz w:val="24"/>
          <w:szCs w:val="24"/>
          <w:lang w:val="en-US" w:eastAsia="zh-CN"/>
        </w:rPr>
        <w:t>本年存货跌价准备余额增加1,211.56万元，其中</w:t>
      </w:r>
      <w:r>
        <w:rPr>
          <w:rFonts w:hint="eastAsia" w:cs="Times New Roman"/>
          <w:bCs/>
          <w:color w:val="auto"/>
          <w:kern w:val="0"/>
          <w:sz w:val="24"/>
          <w:szCs w:val="24"/>
          <w:lang w:val="en-US" w:eastAsia="zh-CN"/>
        </w:rPr>
        <w:t>本年计提</w:t>
      </w:r>
      <w:r>
        <w:rPr>
          <w:rFonts w:hint="eastAsia" w:ascii="Times New Roman" w:hAnsi="Times New Roman" w:eastAsia="宋体" w:cs="Times New Roman"/>
          <w:bCs/>
          <w:color w:val="auto"/>
          <w:kern w:val="0"/>
          <w:sz w:val="24"/>
          <w:szCs w:val="24"/>
          <w:lang w:val="en-US" w:eastAsia="zh-CN"/>
        </w:rPr>
        <w:t>增加存货跌价准备余额3,396.17万元，</w:t>
      </w:r>
      <w:r>
        <w:rPr>
          <w:rFonts w:hint="eastAsia" w:cs="Times New Roman"/>
          <w:bCs/>
          <w:color w:val="auto"/>
          <w:kern w:val="0"/>
          <w:sz w:val="24"/>
          <w:szCs w:val="24"/>
          <w:lang w:val="en-US" w:eastAsia="zh-CN"/>
        </w:rPr>
        <w:t>转回或转销</w:t>
      </w:r>
      <w:r>
        <w:rPr>
          <w:rFonts w:hint="eastAsia" w:ascii="Times New Roman" w:hAnsi="Times New Roman" w:eastAsia="宋体" w:cs="Times New Roman"/>
          <w:bCs/>
          <w:color w:val="auto"/>
          <w:kern w:val="0"/>
          <w:sz w:val="24"/>
          <w:szCs w:val="24"/>
          <w:lang w:val="en-US" w:eastAsia="zh-CN"/>
        </w:rPr>
        <w:t>减少存货跌价准备余额2,184.60万元</w:t>
      </w:r>
      <w:r>
        <w:rPr>
          <w:rFonts w:hint="eastAsia" w:cs="Times New Roman"/>
          <w:bCs/>
          <w:color w:val="auto"/>
          <w:kern w:val="0"/>
          <w:sz w:val="24"/>
          <w:szCs w:val="24"/>
          <w:lang w:val="en-US" w:eastAsia="zh-CN"/>
        </w:rPr>
        <w:t>。</w:t>
      </w:r>
      <w:r>
        <w:rPr>
          <w:rFonts w:hint="eastAsia" w:ascii="Times New Roman" w:hAnsi="Times New Roman" w:cs="Times New Roman"/>
          <w:bCs/>
          <w:color w:val="auto"/>
          <w:kern w:val="0"/>
          <w:sz w:val="24"/>
          <w:szCs w:val="24"/>
          <w:highlight w:val="none"/>
          <w:lang w:val="en-US" w:eastAsia="zh-CN"/>
        </w:rPr>
        <w:t>一方面新材料板块部分</w:t>
      </w:r>
      <w:r>
        <w:rPr>
          <w:rFonts w:hint="eastAsia"/>
          <w:bCs/>
          <w:color w:val="auto"/>
          <w:kern w:val="0"/>
          <w:sz w:val="24"/>
          <w:szCs w:val="24"/>
        </w:rPr>
        <w:t>呆滞存货</w:t>
      </w:r>
      <w:r>
        <w:rPr>
          <w:rFonts w:hint="eastAsia" w:ascii="Times New Roman" w:hAnsi="Times New Roman" w:eastAsia="宋体" w:cs="Times New Roman"/>
          <w:bCs/>
          <w:color w:val="auto"/>
          <w:kern w:val="0"/>
          <w:sz w:val="24"/>
          <w:szCs w:val="24"/>
          <w:lang w:val="en-US" w:eastAsia="zh-CN"/>
        </w:rPr>
        <w:t>经第三方评估机构测试</w:t>
      </w:r>
      <w:r>
        <w:rPr>
          <w:rFonts w:hint="eastAsia" w:ascii="Times New Roman" w:hAnsi="Times New Roman" w:eastAsia="宋体" w:cs="Times New Roman"/>
          <w:bCs/>
          <w:color w:val="auto"/>
          <w:kern w:val="0"/>
          <w:sz w:val="24"/>
          <w:szCs w:val="24"/>
          <w:lang w:val="en-US" w:eastAsia="zh-CN" w:bidi="ar"/>
        </w:rPr>
        <w:t>，</w:t>
      </w:r>
      <w:r>
        <w:rPr>
          <w:rFonts w:hint="eastAsia" w:cs="Times New Roman"/>
          <w:bCs/>
          <w:color w:val="auto"/>
          <w:kern w:val="0"/>
          <w:sz w:val="24"/>
          <w:szCs w:val="24"/>
          <w:lang w:val="en-US" w:eastAsia="zh-CN" w:bidi="ar"/>
        </w:rPr>
        <w:t>经评估存货的可变现净值低于账面价值</w:t>
      </w:r>
      <w:r>
        <w:rPr>
          <w:rFonts w:hint="eastAsia" w:ascii="Times New Roman" w:hAnsi="Times New Roman" w:eastAsia="宋体" w:cs="Times New Roman"/>
          <w:bCs/>
          <w:color w:val="auto"/>
          <w:kern w:val="0"/>
          <w:sz w:val="24"/>
          <w:szCs w:val="24"/>
          <w:lang w:val="en-US" w:eastAsia="zh-CN" w:bidi="ar"/>
        </w:rPr>
        <w:t>导致减值；另一方面电子加速器及辐照板块部分产品更新</w:t>
      </w:r>
      <w:r>
        <w:rPr>
          <w:rFonts w:hint="eastAsia" w:cs="Times New Roman"/>
          <w:bCs/>
          <w:color w:val="auto"/>
          <w:kern w:val="0"/>
          <w:sz w:val="24"/>
          <w:szCs w:val="24"/>
          <w:lang w:val="en-US" w:eastAsia="zh-CN" w:bidi="ar"/>
        </w:rPr>
        <w:t>迭代</w:t>
      </w:r>
      <w:r>
        <w:rPr>
          <w:rFonts w:hint="eastAsia" w:ascii="Times New Roman" w:hAnsi="Times New Roman" w:eastAsia="宋体" w:cs="Times New Roman"/>
          <w:bCs/>
          <w:color w:val="auto"/>
          <w:kern w:val="0"/>
          <w:sz w:val="24"/>
          <w:szCs w:val="24"/>
          <w:lang w:val="en-US" w:eastAsia="zh-CN" w:bidi="ar"/>
        </w:rPr>
        <w:t>，公司按照相关存货成本高于可变现净值</w:t>
      </w:r>
      <w:r>
        <w:rPr>
          <w:rFonts w:hint="eastAsia" w:cs="Times New Roman"/>
          <w:bCs/>
          <w:color w:val="auto"/>
          <w:kern w:val="0"/>
          <w:sz w:val="24"/>
          <w:szCs w:val="24"/>
          <w:lang w:val="en-US" w:eastAsia="zh-CN" w:bidi="ar"/>
        </w:rPr>
        <w:t>，对</w:t>
      </w:r>
      <w:r>
        <w:rPr>
          <w:rFonts w:hint="eastAsia" w:ascii="Times New Roman" w:hAnsi="Times New Roman" w:eastAsia="宋体" w:cs="Times New Roman"/>
          <w:bCs/>
          <w:color w:val="auto"/>
          <w:kern w:val="0"/>
          <w:sz w:val="24"/>
          <w:szCs w:val="24"/>
          <w:lang w:val="en-US" w:eastAsia="zh-CN" w:bidi="ar"/>
        </w:rPr>
        <w:t>相应</w:t>
      </w:r>
      <w:r>
        <w:rPr>
          <w:rFonts w:hint="eastAsia" w:cs="Times New Roman"/>
          <w:bCs/>
          <w:color w:val="auto"/>
          <w:kern w:val="0"/>
          <w:sz w:val="24"/>
          <w:szCs w:val="24"/>
          <w:lang w:val="en-US" w:eastAsia="zh-CN" w:bidi="ar"/>
        </w:rPr>
        <w:t>的</w:t>
      </w:r>
      <w:r>
        <w:rPr>
          <w:rFonts w:hint="eastAsia" w:ascii="Times New Roman" w:hAnsi="Times New Roman" w:eastAsia="宋体" w:cs="Times New Roman"/>
          <w:bCs/>
          <w:color w:val="auto"/>
          <w:kern w:val="0"/>
          <w:sz w:val="24"/>
          <w:szCs w:val="24"/>
          <w:lang w:val="en-US" w:eastAsia="zh-CN" w:bidi="ar"/>
        </w:rPr>
        <w:t>存货</w:t>
      </w:r>
      <w:r>
        <w:rPr>
          <w:rFonts w:hint="eastAsia" w:cs="Times New Roman"/>
          <w:bCs/>
          <w:color w:val="auto"/>
          <w:kern w:val="0"/>
          <w:sz w:val="24"/>
          <w:szCs w:val="24"/>
          <w:lang w:val="en-US" w:eastAsia="zh-CN" w:bidi="ar"/>
        </w:rPr>
        <w:t>计提存货</w:t>
      </w:r>
      <w:r>
        <w:rPr>
          <w:rFonts w:hint="eastAsia" w:ascii="Times New Roman" w:hAnsi="Times New Roman" w:eastAsia="宋体" w:cs="Times New Roman"/>
          <w:bCs/>
          <w:color w:val="auto"/>
          <w:kern w:val="0"/>
          <w:sz w:val="24"/>
          <w:szCs w:val="24"/>
          <w:lang w:val="en-US" w:eastAsia="zh-CN" w:bidi="ar"/>
        </w:rPr>
        <w:t>跌价准备。</w:t>
      </w:r>
    </w:p>
    <w:p>
      <w:pPr>
        <w:spacing w:line="360" w:lineRule="auto"/>
        <w:ind w:firstLine="482" w:firstLineChars="200"/>
        <w:rPr>
          <w:rFonts w:hint="eastAsia" w:ascii="Times New Roman" w:hAnsi="Times New Roman" w:eastAsia="宋体" w:cs="Times New Roman"/>
          <w:b/>
          <w:bCs w:val="0"/>
          <w:color w:val="auto"/>
          <w:kern w:val="0"/>
          <w:sz w:val="24"/>
          <w:szCs w:val="24"/>
          <w:lang w:val="en-US" w:eastAsia="zh-CN"/>
        </w:rPr>
      </w:pPr>
      <w:r>
        <w:rPr>
          <w:rFonts w:hint="eastAsia" w:ascii="Times New Roman" w:hAnsi="Times New Roman" w:eastAsia="宋体" w:cs="Times New Roman"/>
          <w:b/>
          <w:bCs w:val="0"/>
          <w:color w:val="auto"/>
          <w:kern w:val="0"/>
          <w:sz w:val="24"/>
          <w:szCs w:val="24"/>
          <w:lang w:val="en-US" w:eastAsia="zh-CN"/>
        </w:rPr>
        <w:t>（</w:t>
      </w:r>
      <w:r>
        <w:rPr>
          <w:rFonts w:hint="eastAsia" w:cs="Times New Roman"/>
          <w:b/>
          <w:bCs w:val="0"/>
          <w:color w:val="auto"/>
          <w:kern w:val="0"/>
          <w:sz w:val="24"/>
          <w:szCs w:val="24"/>
          <w:lang w:val="en-US" w:eastAsia="zh-CN"/>
        </w:rPr>
        <w:t>六</w:t>
      </w:r>
      <w:r>
        <w:rPr>
          <w:rFonts w:hint="eastAsia" w:ascii="Times New Roman" w:hAnsi="Times New Roman" w:eastAsia="宋体" w:cs="Times New Roman"/>
          <w:b/>
          <w:bCs w:val="0"/>
          <w:color w:val="auto"/>
          <w:kern w:val="0"/>
          <w:sz w:val="24"/>
          <w:szCs w:val="24"/>
          <w:lang w:val="en-US" w:eastAsia="zh-CN"/>
        </w:rPr>
        <w:t>）固定资产减值损失</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本年固定资产减值准备减少56,330.61万元，其中：本年</w:t>
      </w:r>
      <w:r>
        <w:rPr>
          <w:rFonts w:hint="eastAsia" w:cs="Times New Roman"/>
          <w:bCs/>
          <w:color w:val="auto"/>
          <w:kern w:val="0"/>
          <w:sz w:val="24"/>
          <w:szCs w:val="24"/>
          <w:lang w:val="en-US" w:eastAsia="zh-CN"/>
        </w:rPr>
        <w:t>增加4</w:t>
      </w:r>
      <w:r>
        <w:rPr>
          <w:rFonts w:hint="eastAsia" w:ascii="Times New Roman" w:hAnsi="Times New Roman" w:eastAsia="宋体" w:cs="Times New Roman"/>
          <w:bCs/>
          <w:color w:val="auto"/>
          <w:kern w:val="0"/>
          <w:sz w:val="24"/>
          <w:szCs w:val="24"/>
          <w:lang w:val="en-US" w:eastAsia="zh-CN"/>
        </w:rPr>
        <w:t>,</w:t>
      </w:r>
      <w:r>
        <w:rPr>
          <w:rFonts w:hint="eastAsia" w:cs="Times New Roman"/>
          <w:bCs/>
          <w:color w:val="auto"/>
          <w:kern w:val="0"/>
          <w:sz w:val="24"/>
          <w:szCs w:val="24"/>
          <w:lang w:val="en-US" w:eastAsia="zh-CN"/>
        </w:rPr>
        <w:t>428</w:t>
      </w:r>
      <w:r>
        <w:rPr>
          <w:rFonts w:hint="eastAsia" w:ascii="Times New Roman" w:hAnsi="Times New Roman" w:eastAsia="宋体" w:cs="Times New Roman"/>
          <w:bCs/>
          <w:color w:val="auto"/>
          <w:kern w:val="0"/>
          <w:sz w:val="24"/>
          <w:szCs w:val="24"/>
          <w:lang w:val="en-US" w:eastAsia="zh-CN"/>
        </w:rPr>
        <w:t>.</w:t>
      </w:r>
      <w:r>
        <w:rPr>
          <w:rFonts w:hint="eastAsia" w:cs="Times New Roman"/>
          <w:bCs/>
          <w:color w:val="auto"/>
          <w:kern w:val="0"/>
          <w:sz w:val="24"/>
          <w:szCs w:val="24"/>
          <w:lang w:val="en-US" w:eastAsia="zh-CN"/>
        </w:rPr>
        <w:t>76</w:t>
      </w:r>
      <w:r>
        <w:rPr>
          <w:rFonts w:hint="eastAsia" w:ascii="Times New Roman" w:hAnsi="Times New Roman" w:eastAsia="宋体" w:cs="Times New Roman"/>
          <w:bCs/>
          <w:color w:val="auto"/>
          <w:kern w:val="0"/>
          <w:sz w:val="24"/>
          <w:szCs w:val="24"/>
          <w:lang w:val="en-US" w:eastAsia="zh-CN"/>
        </w:rPr>
        <w:t>万元</w:t>
      </w:r>
      <w:r>
        <w:rPr>
          <w:rFonts w:hint="eastAsia" w:cs="Times New Roman"/>
          <w:bCs/>
          <w:color w:val="auto"/>
          <w:kern w:val="0"/>
          <w:sz w:val="24"/>
          <w:szCs w:val="24"/>
          <w:lang w:val="en-US" w:eastAsia="zh-CN"/>
        </w:rPr>
        <w:t>（包括本年新增计提</w:t>
      </w:r>
      <w:r>
        <w:rPr>
          <w:rFonts w:hint="eastAsia"/>
          <w:bCs/>
          <w:color w:val="auto"/>
          <w:kern w:val="0"/>
          <w:sz w:val="24"/>
          <w:szCs w:val="24"/>
        </w:rPr>
        <w:t>3,548.41万元</w:t>
      </w:r>
      <w:r>
        <w:rPr>
          <w:rFonts w:hint="eastAsia"/>
          <w:bCs/>
          <w:color w:val="auto"/>
          <w:kern w:val="0"/>
          <w:sz w:val="24"/>
          <w:szCs w:val="24"/>
          <w:lang w:val="en-US" w:eastAsia="zh-CN"/>
        </w:rPr>
        <w:t>和本年汇率变动增加880.35万元）</w:t>
      </w:r>
      <w:r>
        <w:rPr>
          <w:rFonts w:hint="eastAsia" w:ascii="Times New Roman" w:hAnsi="Times New Roman" w:eastAsia="宋体" w:cs="Times New Roman"/>
          <w:bCs/>
          <w:color w:val="auto"/>
          <w:kern w:val="0"/>
          <w:sz w:val="24"/>
          <w:szCs w:val="24"/>
          <w:lang w:val="en-US" w:eastAsia="zh-CN"/>
        </w:rPr>
        <w:t>，本年</w:t>
      </w:r>
      <w:r>
        <w:rPr>
          <w:rFonts w:hint="eastAsia" w:cs="Times New Roman"/>
          <w:bCs/>
          <w:color w:val="auto"/>
          <w:kern w:val="0"/>
          <w:sz w:val="24"/>
          <w:szCs w:val="24"/>
          <w:lang w:val="en-US" w:eastAsia="zh-CN"/>
        </w:rPr>
        <w:t>减少60</w:t>
      </w:r>
      <w:r>
        <w:rPr>
          <w:rFonts w:hint="eastAsia" w:ascii="Times New Roman" w:hAnsi="Times New Roman" w:eastAsia="宋体" w:cs="Times New Roman"/>
          <w:bCs/>
          <w:color w:val="auto"/>
          <w:kern w:val="0"/>
          <w:sz w:val="24"/>
          <w:szCs w:val="24"/>
          <w:lang w:val="en-US" w:eastAsia="zh-CN"/>
        </w:rPr>
        <w:t>,</w:t>
      </w:r>
      <w:r>
        <w:rPr>
          <w:rFonts w:hint="eastAsia" w:cs="Times New Roman"/>
          <w:bCs/>
          <w:color w:val="auto"/>
          <w:kern w:val="0"/>
          <w:sz w:val="24"/>
          <w:szCs w:val="24"/>
          <w:lang w:val="en-US" w:eastAsia="zh-CN"/>
        </w:rPr>
        <w:t>75</w:t>
      </w:r>
      <w:r>
        <w:rPr>
          <w:rFonts w:hint="eastAsia" w:ascii="Times New Roman" w:hAnsi="Times New Roman" w:eastAsia="宋体" w:cs="Times New Roman"/>
          <w:bCs/>
          <w:color w:val="auto"/>
          <w:kern w:val="0"/>
          <w:sz w:val="24"/>
          <w:szCs w:val="24"/>
          <w:lang w:val="en-US" w:eastAsia="zh-CN"/>
        </w:rPr>
        <w:t>9.</w:t>
      </w:r>
      <w:r>
        <w:rPr>
          <w:rFonts w:hint="eastAsia" w:cs="Times New Roman"/>
          <w:bCs/>
          <w:color w:val="auto"/>
          <w:kern w:val="0"/>
          <w:sz w:val="24"/>
          <w:szCs w:val="24"/>
          <w:lang w:val="en-US" w:eastAsia="zh-CN"/>
        </w:rPr>
        <w:t>37</w:t>
      </w:r>
      <w:r>
        <w:rPr>
          <w:rFonts w:hint="eastAsia" w:ascii="Times New Roman" w:hAnsi="Times New Roman" w:eastAsia="宋体" w:cs="Times New Roman"/>
          <w:bCs/>
          <w:color w:val="auto"/>
          <w:kern w:val="0"/>
          <w:sz w:val="24"/>
          <w:szCs w:val="24"/>
          <w:lang w:val="en-US" w:eastAsia="zh-CN"/>
        </w:rPr>
        <w:t>万元</w:t>
      </w:r>
      <w:r>
        <w:rPr>
          <w:rFonts w:hint="eastAsia" w:cs="Times New Roman"/>
          <w:bCs/>
          <w:color w:val="auto"/>
          <w:kern w:val="0"/>
          <w:sz w:val="24"/>
          <w:szCs w:val="24"/>
          <w:lang w:val="en-US" w:eastAsia="zh-CN"/>
        </w:rPr>
        <w:t>（包括本年处置子公司转出59,878.26万元和本年处置机器设备转出881.11万元）</w:t>
      </w:r>
      <w:r>
        <w:rPr>
          <w:rFonts w:hint="eastAsia" w:ascii="Times New Roman" w:hAnsi="Times New Roman" w:eastAsia="宋体" w:cs="Times New Roman"/>
          <w:bCs/>
          <w:color w:val="auto"/>
          <w:kern w:val="0"/>
          <w:sz w:val="24"/>
          <w:szCs w:val="24"/>
          <w:lang w:val="en-US" w:eastAsia="zh-CN"/>
        </w:rPr>
        <w:t>。</w:t>
      </w:r>
      <w:r>
        <w:rPr>
          <w:rFonts w:hint="eastAsia" w:cs="Times New Roman"/>
          <w:bCs/>
          <w:color w:val="auto"/>
          <w:kern w:val="0"/>
          <w:sz w:val="24"/>
          <w:szCs w:val="24"/>
          <w:lang w:val="en-US" w:eastAsia="zh-CN"/>
        </w:rPr>
        <w:t>本年新增计提</w:t>
      </w:r>
      <w:r>
        <w:rPr>
          <w:rFonts w:hint="eastAsia"/>
          <w:bCs/>
          <w:color w:val="auto"/>
          <w:kern w:val="0"/>
          <w:sz w:val="24"/>
          <w:szCs w:val="24"/>
        </w:rPr>
        <w:t>3,548.41万元</w:t>
      </w:r>
      <w:r>
        <w:rPr>
          <w:rFonts w:hint="eastAsia" w:cs="Times New Roman"/>
          <w:bCs/>
          <w:color w:val="auto"/>
          <w:kern w:val="0"/>
          <w:sz w:val="24"/>
          <w:szCs w:val="24"/>
          <w:lang w:val="en-US" w:eastAsia="zh-CN"/>
        </w:rPr>
        <w:t>主要是公司针对下属</w:t>
      </w:r>
      <w:r>
        <w:rPr>
          <w:rFonts w:hint="eastAsia"/>
          <w:bCs/>
          <w:color w:val="auto"/>
          <w:kern w:val="0"/>
          <w:sz w:val="24"/>
          <w:szCs w:val="24"/>
        </w:rPr>
        <w:t>中广核新</w:t>
      </w:r>
      <w:r>
        <w:rPr>
          <w:rFonts w:hint="eastAsia" w:ascii="宋体" w:hAnsi="宋体" w:cs="宋体"/>
          <w:bCs/>
          <w:color w:val="auto"/>
          <w:kern w:val="0"/>
          <w:sz w:val="24"/>
          <w:szCs w:val="24"/>
        </w:rPr>
        <w:t>奇特(扬州)</w:t>
      </w:r>
      <w:r>
        <w:rPr>
          <w:rFonts w:hint="eastAsia"/>
          <w:bCs/>
          <w:color w:val="auto"/>
          <w:kern w:val="0"/>
          <w:sz w:val="24"/>
          <w:szCs w:val="24"/>
        </w:rPr>
        <w:t>电气有限公司</w:t>
      </w:r>
      <w:r>
        <w:rPr>
          <w:rFonts w:hint="eastAsia" w:cs="Times New Roman"/>
          <w:bCs/>
          <w:color w:val="auto"/>
          <w:kern w:val="0"/>
          <w:sz w:val="24"/>
          <w:szCs w:val="24"/>
          <w:lang w:val="en-US" w:eastAsia="zh-CN"/>
        </w:rPr>
        <w:t>等子公司</w:t>
      </w:r>
      <w:r>
        <w:rPr>
          <w:rFonts w:hint="eastAsia" w:ascii="Times New Roman" w:hAnsi="Times New Roman" w:eastAsia="宋体" w:cs="Times New Roman"/>
          <w:bCs/>
          <w:color w:val="auto"/>
          <w:kern w:val="0"/>
          <w:sz w:val="24"/>
          <w:szCs w:val="24"/>
          <w:lang w:val="en-US" w:eastAsia="zh-CN"/>
        </w:rPr>
        <w:t>的闲置固定资产进行了减值评估，经第三方评估机构测试，相关固定资产可收回金额低于账面价值</w:t>
      </w:r>
      <w:r>
        <w:rPr>
          <w:rFonts w:hint="eastAsia" w:cs="Times New Roman"/>
          <w:bCs/>
          <w:color w:val="auto"/>
          <w:kern w:val="0"/>
          <w:sz w:val="24"/>
          <w:szCs w:val="24"/>
          <w:lang w:val="en-US" w:eastAsia="zh-CN"/>
        </w:rPr>
        <w:t>。</w:t>
      </w:r>
      <w:r>
        <w:rPr>
          <w:rFonts w:hint="eastAsia" w:ascii="Times New Roman" w:hAnsi="Times New Roman" w:eastAsia="宋体" w:cs="Times New Roman"/>
          <w:bCs/>
          <w:color w:val="auto"/>
          <w:kern w:val="0"/>
          <w:sz w:val="24"/>
          <w:szCs w:val="24"/>
          <w:lang w:val="en-US" w:eastAsia="zh-CN"/>
        </w:rPr>
        <w:t>本年因处置大新控股子公司而转出的固定资产减值准备金额为59,878.26万元。</w:t>
      </w:r>
      <w:bookmarkStart w:id="1" w:name="_GoBack"/>
      <w:bookmarkEnd w:id="1"/>
    </w:p>
    <w:p>
      <w:pPr>
        <w:spacing w:line="360" w:lineRule="auto"/>
        <w:ind w:firstLine="482" w:firstLineChars="200"/>
        <w:rPr>
          <w:rFonts w:hint="eastAsia" w:ascii="Times New Roman" w:hAnsi="Times New Roman" w:eastAsia="宋体" w:cs="Times New Roman"/>
          <w:b/>
          <w:bCs w:val="0"/>
          <w:color w:val="auto"/>
          <w:kern w:val="0"/>
          <w:sz w:val="24"/>
          <w:szCs w:val="24"/>
          <w:lang w:val="en-US" w:eastAsia="zh-CN"/>
        </w:rPr>
      </w:pPr>
      <w:r>
        <w:rPr>
          <w:rFonts w:hint="eastAsia" w:ascii="Times New Roman" w:hAnsi="Times New Roman" w:eastAsia="宋体" w:cs="Times New Roman"/>
          <w:b/>
          <w:bCs w:val="0"/>
          <w:color w:val="auto"/>
          <w:kern w:val="0"/>
          <w:sz w:val="24"/>
          <w:szCs w:val="24"/>
          <w:lang w:val="en-US" w:eastAsia="zh-CN"/>
        </w:rPr>
        <w:t>（</w:t>
      </w:r>
      <w:r>
        <w:rPr>
          <w:rFonts w:hint="eastAsia" w:cs="Times New Roman"/>
          <w:b/>
          <w:bCs w:val="0"/>
          <w:color w:val="auto"/>
          <w:kern w:val="0"/>
          <w:sz w:val="24"/>
          <w:szCs w:val="24"/>
          <w:lang w:val="en-US" w:eastAsia="zh-CN"/>
        </w:rPr>
        <w:t>七</w:t>
      </w:r>
      <w:r>
        <w:rPr>
          <w:rFonts w:hint="eastAsia" w:ascii="Times New Roman" w:hAnsi="Times New Roman" w:eastAsia="宋体" w:cs="Times New Roman"/>
          <w:b/>
          <w:bCs w:val="0"/>
          <w:color w:val="auto"/>
          <w:kern w:val="0"/>
          <w:sz w:val="24"/>
          <w:szCs w:val="24"/>
          <w:lang w:val="en-US" w:eastAsia="zh-CN"/>
        </w:rPr>
        <w:t>）合同资产减值损失</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w:t>
      </w:r>
      <w:r>
        <w:rPr>
          <w:rFonts w:hint="eastAsia" w:cs="Times New Roman"/>
          <w:bCs/>
          <w:color w:val="auto"/>
          <w:kern w:val="0"/>
          <w:sz w:val="24"/>
          <w:szCs w:val="24"/>
          <w:lang w:val="en-US" w:eastAsia="zh-CN"/>
        </w:rPr>
        <w:t>合同资产</w:t>
      </w:r>
      <w:r>
        <w:rPr>
          <w:rFonts w:hint="eastAsia" w:ascii="Times New Roman" w:hAnsi="Times New Roman" w:eastAsia="宋体" w:cs="Times New Roman"/>
          <w:bCs/>
          <w:color w:val="auto"/>
          <w:kern w:val="0"/>
          <w:sz w:val="24"/>
          <w:szCs w:val="24"/>
          <w:lang w:val="en-US" w:eastAsia="zh-CN"/>
        </w:rPr>
        <w:t>减值准备</w:t>
      </w:r>
      <w:r>
        <w:rPr>
          <w:rFonts w:hint="eastAsia" w:cs="Times New Roman"/>
          <w:bCs/>
          <w:color w:val="auto"/>
          <w:kern w:val="0"/>
          <w:sz w:val="24"/>
          <w:szCs w:val="24"/>
          <w:lang w:val="en-US" w:eastAsia="zh-CN"/>
        </w:rPr>
        <w:t>余额</w:t>
      </w:r>
      <w:r>
        <w:rPr>
          <w:rFonts w:hint="eastAsia" w:ascii="Times New Roman" w:hAnsi="Times New Roman" w:eastAsia="宋体" w:cs="Times New Roman"/>
          <w:bCs/>
          <w:color w:val="auto"/>
          <w:kern w:val="0"/>
          <w:sz w:val="24"/>
          <w:szCs w:val="24"/>
          <w:lang w:val="en-US" w:eastAsia="zh-CN"/>
        </w:rPr>
        <w:t>增加598.82万元。本年计提增加796.63万元主要为核环保业务部分项目已达结算条件但仍未结算的工程款计提的减值准备，</w:t>
      </w:r>
      <w:r>
        <w:rPr>
          <w:rFonts w:hint="eastAsia" w:cs="Times New Roman"/>
          <w:bCs/>
          <w:color w:val="auto"/>
          <w:kern w:val="0"/>
          <w:sz w:val="24"/>
          <w:szCs w:val="24"/>
          <w:lang w:val="en-US" w:eastAsia="zh-CN"/>
        </w:rPr>
        <w:t>合同资产转入应收账款导致</w:t>
      </w:r>
      <w:r>
        <w:rPr>
          <w:rFonts w:hint="eastAsia" w:ascii="Times New Roman" w:hAnsi="Times New Roman" w:eastAsia="宋体" w:cs="Times New Roman"/>
          <w:bCs/>
          <w:color w:val="auto"/>
          <w:kern w:val="0"/>
          <w:sz w:val="24"/>
          <w:szCs w:val="24"/>
          <w:lang w:val="en-US" w:eastAsia="zh-CN"/>
        </w:rPr>
        <w:t>减值准备减少197.81万元。</w:t>
      </w:r>
    </w:p>
    <w:p>
      <w:pPr>
        <w:spacing w:line="360" w:lineRule="auto"/>
        <w:ind w:firstLine="482" w:firstLineChars="200"/>
        <w:rPr>
          <w:rFonts w:hint="default" w:ascii="Times New Roman" w:hAnsi="Times New Roman" w:eastAsia="宋体" w:cs="Times New Roman"/>
          <w:b/>
          <w:bCs w:val="0"/>
          <w:color w:val="auto"/>
          <w:kern w:val="0"/>
          <w:sz w:val="24"/>
          <w:szCs w:val="24"/>
          <w:lang w:val="en-US" w:eastAsia="zh-CN"/>
        </w:rPr>
      </w:pPr>
      <w:r>
        <w:rPr>
          <w:rFonts w:hint="eastAsia" w:ascii="Times New Roman" w:hAnsi="Times New Roman" w:eastAsia="宋体" w:cs="Times New Roman"/>
          <w:b/>
          <w:bCs w:val="0"/>
          <w:color w:val="auto"/>
          <w:kern w:val="0"/>
          <w:sz w:val="24"/>
          <w:szCs w:val="24"/>
          <w:lang w:val="en-US" w:eastAsia="zh-CN"/>
        </w:rPr>
        <w:t>（</w:t>
      </w:r>
      <w:r>
        <w:rPr>
          <w:rFonts w:hint="eastAsia" w:cs="Times New Roman"/>
          <w:b/>
          <w:bCs w:val="0"/>
          <w:color w:val="auto"/>
          <w:kern w:val="0"/>
          <w:sz w:val="24"/>
          <w:szCs w:val="24"/>
          <w:lang w:val="en-US" w:eastAsia="zh-CN"/>
        </w:rPr>
        <w:t>八</w:t>
      </w:r>
      <w:r>
        <w:rPr>
          <w:rFonts w:hint="eastAsia" w:ascii="Times New Roman" w:hAnsi="Times New Roman" w:eastAsia="宋体" w:cs="Times New Roman"/>
          <w:b/>
          <w:bCs w:val="0"/>
          <w:color w:val="auto"/>
          <w:kern w:val="0"/>
          <w:sz w:val="24"/>
          <w:szCs w:val="24"/>
          <w:lang w:val="en-US" w:eastAsia="zh-CN"/>
        </w:rPr>
        <w:t>）</w:t>
      </w:r>
      <w:r>
        <w:rPr>
          <w:rFonts w:hint="eastAsia" w:cs="Times New Roman"/>
          <w:b/>
          <w:bCs w:val="0"/>
          <w:color w:val="auto"/>
          <w:kern w:val="0"/>
          <w:sz w:val="24"/>
          <w:szCs w:val="24"/>
          <w:lang w:val="en-US" w:eastAsia="zh-CN"/>
        </w:rPr>
        <w:t>无形资产</w:t>
      </w:r>
    </w:p>
    <w:p>
      <w:pPr>
        <w:spacing w:line="360" w:lineRule="auto"/>
        <w:ind w:firstLine="480" w:firstLineChars="200"/>
        <w:rPr>
          <w:rFonts w:hint="eastAsia" w:ascii="Times New Roman" w:hAnsi="Times New Roman" w:eastAsia="宋体" w:cs="Times New Roman"/>
          <w:bCs/>
          <w:color w:val="auto"/>
          <w:kern w:val="0"/>
          <w:sz w:val="24"/>
          <w:szCs w:val="24"/>
          <w:lang w:val="en-US" w:eastAsia="zh-CN"/>
        </w:rPr>
      </w:pPr>
      <w:r>
        <w:rPr>
          <w:rFonts w:hint="eastAsia" w:ascii="Times New Roman" w:hAnsi="Times New Roman" w:eastAsia="宋体" w:cs="Times New Roman"/>
          <w:bCs/>
          <w:color w:val="auto"/>
          <w:kern w:val="0"/>
          <w:sz w:val="24"/>
          <w:szCs w:val="24"/>
          <w:lang w:val="en-US" w:eastAsia="zh-CN"/>
        </w:rPr>
        <w:t>本年无形资产减值准备增加204.82万元</w:t>
      </w:r>
      <w:r>
        <w:rPr>
          <w:rFonts w:hint="eastAsia" w:cs="Times New Roman"/>
          <w:bCs/>
          <w:color w:val="auto"/>
          <w:kern w:val="0"/>
          <w:sz w:val="24"/>
          <w:szCs w:val="24"/>
          <w:lang w:val="en-US" w:eastAsia="zh-CN"/>
        </w:rPr>
        <w:t>。主要原因是公司针对子公司</w:t>
      </w:r>
      <w:r>
        <w:rPr>
          <w:rFonts w:hint="eastAsia" w:ascii="Times New Roman" w:hAnsi="Times New Roman" w:eastAsia="宋体" w:cs="Times New Roman"/>
          <w:bCs/>
          <w:color w:val="auto"/>
          <w:kern w:val="0"/>
          <w:sz w:val="24"/>
          <w:szCs w:val="24"/>
          <w:lang w:val="en-US" w:eastAsia="zh-CN"/>
        </w:rPr>
        <w:t>高新核材苏州科技公司</w:t>
      </w:r>
      <w:r>
        <w:rPr>
          <w:rFonts w:hint="eastAsia" w:cs="Times New Roman"/>
          <w:bCs/>
          <w:color w:val="auto"/>
          <w:kern w:val="0"/>
          <w:sz w:val="24"/>
          <w:szCs w:val="24"/>
          <w:lang w:val="en-US" w:eastAsia="zh-CN"/>
        </w:rPr>
        <w:t>的</w:t>
      </w:r>
      <w:r>
        <w:rPr>
          <w:rFonts w:hint="eastAsia" w:ascii="Times New Roman" w:hAnsi="Times New Roman" w:eastAsia="宋体" w:cs="Times New Roman"/>
          <w:bCs/>
          <w:color w:val="auto"/>
          <w:kern w:val="0"/>
          <w:sz w:val="24"/>
          <w:szCs w:val="24"/>
          <w:lang w:val="en-US" w:eastAsia="zh-CN"/>
        </w:rPr>
        <w:t>不具备有偿转让或授权他人使用部分产品技术，经第三方评估机构测试，相关</w:t>
      </w:r>
      <w:r>
        <w:rPr>
          <w:rFonts w:hint="eastAsia" w:cs="Times New Roman"/>
          <w:bCs/>
          <w:color w:val="auto"/>
          <w:kern w:val="0"/>
          <w:sz w:val="24"/>
          <w:szCs w:val="24"/>
          <w:lang w:val="en-US" w:eastAsia="zh-CN"/>
        </w:rPr>
        <w:t>无形</w:t>
      </w:r>
      <w:r>
        <w:rPr>
          <w:rFonts w:hint="eastAsia" w:ascii="Times New Roman" w:hAnsi="Times New Roman" w:eastAsia="宋体" w:cs="Times New Roman"/>
          <w:bCs/>
          <w:color w:val="auto"/>
          <w:kern w:val="0"/>
          <w:sz w:val="24"/>
          <w:szCs w:val="24"/>
          <w:lang w:val="en-US" w:eastAsia="zh-CN"/>
        </w:rPr>
        <w:t>资产可收回金额低于账面价值。</w:t>
      </w:r>
    </w:p>
    <w:p>
      <w:pPr>
        <w:spacing w:line="360" w:lineRule="auto"/>
        <w:ind w:firstLine="482" w:firstLineChars="200"/>
        <w:rPr>
          <w:rFonts w:hint="eastAsia"/>
          <w:b/>
          <w:bCs/>
          <w:color w:val="auto"/>
          <w:kern w:val="0"/>
          <w:sz w:val="24"/>
          <w:szCs w:val="24"/>
        </w:rPr>
      </w:pPr>
      <w:r>
        <w:rPr>
          <w:rFonts w:hint="eastAsia"/>
          <w:b/>
          <w:bCs/>
          <w:color w:val="auto"/>
          <w:kern w:val="0"/>
          <w:sz w:val="24"/>
          <w:szCs w:val="24"/>
          <w:lang w:val="en-US" w:eastAsia="zh-CN"/>
        </w:rPr>
        <w:t>三</w:t>
      </w:r>
      <w:r>
        <w:rPr>
          <w:rFonts w:hint="eastAsia"/>
          <w:b/>
          <w:bCs/>
          <w:color w:val="auto"/>
          <w:kern w:val="0"/>
          <w:sz w:val="24"/>
          <w:szCs w:val="24"/>
        </w:rPr>
        <w:t>、本次计提减值准备合理性说明以及对公司的影响</w:t>
      </w:r>
    </w:p>
    <w:p>
      <w:pPr>
        <w:spacing w:line="360" w:lineRule="auto"/>
        <w:ind w:firstLine="480" w:firstLineChars="200"/>
        <w:rPr>
          <w:rFonts w:hint="default" w:eastAsia="宋体"/>
          <w:b w:val="0"/>
          <w:bCs w:val="0"/>
          <w:color w:val="auto"/>
          <w:kern w:val="0"/>
          <w:sz w:val="24"/>
          <w:szCs w:val="24"/>
          <w:lang w:val="en-US" w:eastAsia="zh-CN"/>
        </w:rPr>
      </w:pPr>
      <w:r>
        <w:rPr>
          <w:rFonts w:hint="eastAsia"/>
          <w:b w:val="0"/>
          <w:bCs w:val="0"/>
          <w:color w:val="auto"/>
          <w:kern w:val="0"/>
          <w:sz w:val="24"/>
          <w:szCs w:val="24"/>
        </w:rPr>
        <w:t>本次计提202</w:t>
      </w:r>
      <w:r>
        <w:rPr>
          <w:rFonts w:hint="eastAsia"/>
          <w:b w:val="0"/>
          <w:bCs w:val="0"/>
          <w:color w:val="auto"/>
          <w:kern w:val="0"/>
          <w:sz w:val="24"/>
          <w:szCs w:val="24"/>
          <w:lang w:val="en-US" w:eastAsia="zh-CN"/>
        </w:rPr>
        <w:t>4</w:t>
      </w:r>
      <w:r>
        <w:rPr>
          <w:rFonts w:hint="eastAsia"/>
          <w:b w:val="0"/>
          <w:bCs w:val="0"/>
          <w:color w:val="auto"/>
          <w:kern w:val="0"/>
          <w:sz w:val="24"/>
          <w:szCs w:val="24"/>
        </w:rPr>
        <w:t>年度减值准备依据《企业会计准则》及深圳证券交易所的有关规则，符合公司的实际情况，能够客观、真实、公允地反映公司的财务状况和资产价值</w:t>
      </w:r>
      <w:r>
        <w:rPr>
          <w:rFonts w:hint="eastAsia"/>
          <w:b w:val="0"/>
          <w:bCs w:val="0"/>
          <w:color w:val="auto"/>
          <w:kern w:val="0"/>
          <w:sz w:val="24"/>
          <w:szCs w:val="24"/>
          <w:lang w:val="en-US" w:eastAsia="zh-CN"/>
        </w:rPr>
        <w:t>。</w:t>
      </w:r>
    </w:p>
    <w:p>
      <w:pPr>
        <w:spacing w:line="360" w:lineRule="auto"/>
        <w:ind w:firstLine="482" w:firstLineChars="200"/>
        <w:rPr>
          <w:b/>
          <w:bCs/>
          <w:color w:val="auto"/>
          <w:kern w:val="0"/>
          <w:sz w:val="24"/>
          <w:szCs w:val="24"/>
        </w:rPr>
      </w:pPr>
      <w:r>
        <w:rPr>
          <w:rFonts w:hint="eastAsia"/>
          <w:b/>
          <w:bCs/>
          <w:color w:val="auto"/>
          <w:kern w:val="0"/>
          <w:sz w:val="24"/>
          <w:szCs w:val="24"/>
          <w:lang w:val="en-US" w:eastAsia="zh-CN"/>
        </w:rPr>
        <w:t>四</w:t>
      </w:r>
      <w:r>
        <w:rPr>
          <w:rFonts w:hint="eastAsia"/>
          <w:b/>
          <w:bCs/>
          <w:color w:val="auto"/>
          <w:kern w:val="0"/>
          <w:sz w:val="24"/>
          <w:szCs w:val="24"/>
        </w:rPr>
        <w:t>、计提的信用和资产减值损失对公司当期利润的影响</w:t>
      </w:r>
    </w:p>
    <w:p>
      <w:pPr>
        <w:spacing w:line="360" w:lineRule="auto"/>
        <w:ind w:firstLine="480" w:firstLineChars="200"/>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bCs/>
          <w:color w:val="auto"/>
          <w:kern w:val="0"/>
          <w:sz w:val="24"/>
          <w:szCs w:val="24"/>
        </w:rPr>
        <w:t>202</w:t>
      </w:r>
      <w:r>
        <w:rPr>
          <w:rFonts w:hint="eastAsia" w:cs="Times New Roman"/>
          <w:bCs/>
          <w:color w:val="auto"/>
          <w:kern w:val="0"/>
          <w:sz w:val="24"/>
          <w:szCs w:val="24"/>
          <w:lang w:val="en-US" w:eastAsia="zh-CN"/>
        </w:rPr>
        <w:t>4</w:t>
      </w:r>
      <w:r>
        <w:rPr>
          <w:rFonts w:hint="default" w:ascii="Times New Roman" w:hAnsi="Times New Roman" w:eastAsia="宋体" w:cs="Times New Roman"/>
          <w:bCs/>
          <w:color w:val="auto"/>
          <w:kern w:val="0"/>
          <w:sz w:val="24"/>
          <w:szCs w:val="24"/>
        </w:rPr>
        <w:t>年度公司</w:t>
      </w:r>
      <w:r>
        <w:rPr>
          <w:rFonts w:hint="default" w:ascii="Times New Roman" w:hAnsi="Times New Roman" w:eastAsia="宋体" w:cs="Times New Roman"/>
          <w:bCs/>
          <w:color w:val="auto"/>
          <w:kern w:val="0"/>
          <w:sz w:val="24"/>
          <w:szCs w:val="24"/>
          <w:lang w:val="en-US" w:eastAsia="zh-CN"/>
        </w:rPr>
        <w:t>合并财务报表</w:t>
      </w:r>
      <w:r>
        <w:rPr>
          <w:rFonts w:hint="default" w:ascii="Times New Roman" w:hAnsi="Times New Roman" w:eastAsia="宋体" w:cs="Times New Roman"/>
          <w:bCs/>
          <w:color w:val="auto"/>
          <w:kern w:val="0"/>
          <w:sz w:val="24"/>
          <w:szCs w:val="24"/>
        </w:rPr>
        <w:t>拟计提的信用</w:t>
      </w:r>
      <w:r>
        <w:rPr>
          <w:rFonts w:hint="eastAsia" w:cs="Times New Roman"/>
          <w:bCs/>
          <w:color w:val="auto"/>
          <w:kern w:val="0"/>
          <w:sz w:val="24"/>
          <w:szCs w:val="24"/>
          <w:lang w:val="en-US" w:eastAsia="zh-CN"/>
        </w:rPr>
        <w:t>及</w:t>
      </w:r>
      <w:r>
        <w:rPr>
          <w:rFonts w:hint="default" w:ascii="Times New Roman" w:hAnsi="Times New Roman" w:eastAsia="宋体" w:cs="Times New Roman"/>
          <w:bCs/>
          <w:color w:val="auto"/>
          <w:kern w:val="0"/>
          <w:sz w:val="24"/>
          <w:szCs w:val="24"/>
        </w:rPr>
        <w:t>资产减值损失合计为15,587.08万元，减少公司202</w:t>
      </w:r>
      <w:r>
        <w:rPr>
          <w:rFonts w:hint="eastAsia" w:cs="Times New Roman"/>
          <w:bCs/>
          <w:color w:val="auto"/>
          <w:kern w:val="0"/>
          <w:sz w:val="24"/>
          <w:szCs w:val="24"/>
          <w:lang w:val="en-US" w:eastAsia="zh-CN"/>
        </w:rPr>
        <w:t>4</w:t>
      </w:r>
      <w:r>
        <w:rPr>
          <w:rFonts w:hint="default" w:ascii="Times New Roman" w:hAnsi="Times New Roman" w:eastAsia="宋体" w:cs="Times New Roman"/>
          <w:bCs/>
          <w:color w:val="auto"/>
          <w:kern w:val="0"/>
          <w:sz w:val="24"/>
          <w:szCs w:val="24"/>
        </w:rPr>
        <w:t>年度归属于上市公司股东的净利润</w:t>
      </w:r>
      <w:r>
        <w:rPr>
          <w:rFonts w:hint="default" w:ascii="Times New Roman" w:hAnsi="Times New Roman" w:cs="Times New Roman"/>
          <w:bCs/>
          <w:color w:val="auto"/>
          <w:kern w:val="0"/>
          <w:sz w:val="24"/>
          <w:szCs w:val="24"/>
          <w:highlight w:val="none"/>
          <w:lang w:val="en-US" w:eastAsia="zh-CN"/>
        </w:rPr>
        <w:t>14,112.90</w:t>
      </w:r>
      <w:r>
        <w:rPr>
          <w:rFonts w:hint="default" w:ascii="Times New Roman" w:hAnsi="Times New Roman" w:eastAsia="宋体" w:cs="Times New Roman"/>
          <w:bCs/>
          <w:color w:val="auto"/>
          <w:kern w:val="0"/>
          <w:sz w:val="24"/>
          <w:szCs w:val="24"/>
        </w:rPr>
        <w:t>万元，减少公司202</w:t>
      </w:r>
      <w:r>
        <w:rPr>
          <w:rFonts w:hint="eastAsia" w:cs="Times New Roman"/>
          <w:bCs/>
          <w:color w:val="auto"/>
          <w:kern w:val="0"/>
          <w:sz w:val="24"/>
          <w:szCs w:val="24"/>
          <w:lang w:val="en-US" w:eastAsia="zh-CN"/>
        </w:rPr>
        <w:t>4</w:t>
      </w:r>
      <w:r>
        <w:rPr>
          <w:rFonts w:hint="default" w:ascii="Times New Roman" w:hAnsi="Times New Roman" w:eastAsia="宋体" w:cs="Times New Roman"/>
          <w:bCs/>
          <w:color w:val="auto"/>
          <w:kern w:val="0"/>
          <w:sz w:val="24"/>
          <w:szCs w:val="24"/>
        </w:rPr>
        <w:t>年度归属于上市公司股东的所有者权益</w:t>
      </w:r>
      <w:r>
        <w:rPr>
          <w:rFonts w:hint="default" w:ascii="Times New Roman" w:hAnsi="Times New Roman" w:cs="Times New Roman"/>
          <w:bCs/>
          <w:color w:val="auto"/>
          <w:kern w:val="0"/>
          <w:sz w:val="24"/>
          <w:szCs w:val="24"/>
          <w:highlight w:val="none"/>
          <w:lang w:val="en-US" w:eastAsia="zh-CN"/>
        </w:rPr>
        <w:t>14,112.90</w:t>
      </w:r>
      <w:r>
        <w:rPr>
          <w:rFonts w:hint="default" w:ascii="Times New Roman" w:hAnsi="Times New Roman" w:eastAsia="宋体" w:cs="Times New Roman"/>
          <w:bCs/>
          <w:color w:val="auto"/>
          <w:kern w:val="0"/>
          <w:sz w:val="24"/>
          <w:szCs w:val="24"/>
        </w:rPr>
        <w:t>万元。</w:t>
      </w:r>
    </w:p>
    <w:p>
      <w:pPr>
        <w:spacing w:line="360" w:lineRule="auto"/>
        <w:ind w:firstLine="482" w:firstLineChars="200"/>
        <w:rPr>
          <w:rFonts w:hint="eastAsia"/>
          <w:b/>
          <w:bCs/>
          <w:color w:val="auto"/>
          <w:kern w:val="0"/>
          <w:sz w:val="24"/>
          <w:szCs w:val="24"/>
        </w:rPr>
      </w:pPr>
      <w:r>
        <w:rPr>
          <w:rFonts w:hint="eastAsia"/>
          <w:b/>
          <w:bCs/>
          <w:color w:val="auto"/>
          <w:kern w:val="0"/>
          <w:sz w:val="24"/>
          <w:szCs w:val="24"/>
          <w:lang w:val="en-US" w:eastAsia="zh-CN"/>
        </w:rPr>
        <w:t>五</w:t>
      </w:r>
      <w:r>
        <w:rPr>
          <w:rFonts w:hint="eastAsia"/>
          <w:b/>
          <w:bCs/>
          <w:color w:val="auto"/>
          <w:kern w:val="0"/>
          <w:sz w:val="24"/>
          <w:szCs w:val="24"/>
        </w:rPr>
        <w:t>、董事会</w:t>
      </w:r>
      <w:r>
        <w:rPr>
          <w:rFonts w:hint="eastAsia"/>
          <w:b/>
          <w:bCs/>
          <w:color w:val="auto"/>
          <w:kern w:val="0"/>
          <w:sz w:val="24"/>
          <w:szCs w:val="24"/>
          <w:lang w:val="en-US" w:eastAsia="zh-CN"/>
        </w:rPr>
        <w:t>和审计委员会</w:t>
      </w:r>
      <w:r>
        <w:rPr>
          <w:rFonts w:hint="eastAsia"/>
          <w:b/>
          <w:bCs/>
          <w:color w:val="auto"/>
          <w:kern w:val="0"/>
          <w:sz w:val="24"/>
          <w:szCs w:val="24"/>
        </w:rPr>
        <w:t>关于计提信用减值准备和资产减值准备的合理性说明</w:t>
      </w:r>
    </w:p>
    <w:p>
      <w:pPr>
        <w:spacing w:line="360" w:lineRule="auto"/>
        <w:ind w:firstLine="480" w:firstLineChars="200"/>
        <w:rPr>
          <w:rFonts w:hint="eastAsia"/>
          <w:bCs/>
          <w:color w:val="auto"/>
          <w:kern w:val="0"/>
          <w:sz w:val="24"/>
          <w:szCs w:val="24"/>
        </w:rPr>
      </w:pPr>
      <w:r>
        <w:rPr>
          <w:rFonts w:hint="eastAsia"/>
          <w:bCs/>
          <w:color w:val="auto"/>
          <w:kern w:val="0"/>
          <w:sz w:val="24"/>
          <w:szCs w:val="24"/>
        </w:rPr>
        <w:t>经审议，董事会和审计委员会认为：依据《企业会计准则》和公司相关会计政策的规定，公司计提202</w:t>
      </w:r>
      <w:r>
        <w:rPr>
          <w:rFonts w:hint="eastAsia"/>
          <w:bCs/>
          <w:color w:val="auto"/>
          <w:kern w:val="0"/>
          <w:sz w:val="24"/>
          <w:szCs w:val="24"/>
          <w:lang w:val="en-US" w:eastAsia="zh-CN"/>
        </w:rPr>
        <w:t>4</w:t>
      </w:r>
      <w:r>
        <w:rPr>
          <w:rFonts w:hint="eastAsia"/>
          <w:bCs/>
          <w:color w:val="auto"/>
          <w:kern w:val="0"/>
          <w:sz w:val="24"/>
          <w:szCs w:val="24"/>
        </w:rPr>
        <w:t>年度</w:t>
      </w:r>
      <w:r>
        <w:rPr>
          <w:rFonts w:hint="eastAsia"/>
          <w:bCs/>
          <w:color w:val="auto"/>
          <w:kern w:val="0"/>
          <w:sz w:val="24"/>
          <w:szCs w:val="24"/>
          <w:lang w:val="en-US" w:eastAsia="zh-CN"/>
        </w:rPr>
        <w:t>信用及资产</w:t>
      </w:r>
      <w:r>
        <w:rPr>
          <w:rFonts w:hint="eastAsia"/>
          <w:bCs/>
          <w:color w:val="auto"/>
          <w:kern w:val="0"/>
          <w:sz w:val="24"/>
          <w:szCs w:val="24"/>
        </w:rPr>
        <w:t>减值准备的依据充分，公允的反映了公司资产状况，使公司关于资产价值的会计信息更加真实可靠，具有合理性。</w:t>
      </w:r>
    </w:p>
    <w:p>
      <w:pPr>
        <w:spacing w:line="360" w:lineRule="auto"/>
        <w:ind w:firstLine="482" w:firstLineChars="200"/>
        <w:rPr>
          <w:rFonts w:hint="eastAsia"/>
          <w:b/>
          <w:bCs/>
          <w:color w:val="auto"/>
          <w:kern w:val="0"/>
          <w:sz w:val="24"/>
          <w:szCs w:val="24"/>
        </w:rPr>
      </w:pPr>
      <w:r>
        <w:rPr>
          <w:rFonts w:hint="eastAsia"/>
          <w:b/>
          <w:bCs/>
          <w:color w:val="auto"/>
          <w:kern w:val="0"/>
          <w:sz w:val="24"/>
          <w:szCs w:val="24"/>
          <w:lang w:val="en-US" w:eastAsia="zh-CN"/>
        </w:rPr>
        <w:t>六</w:t>
      </w:r>
      <w:r>
        <w:rPr>
          <w:rFonts w:hint="eastAsia"/>
          <w:b/>
          <w:bCs/>
          <w:color w:val="auto"/>
          <w:kern w:val="0"/>
          <w:sz w:val="24"/>
          <w:szCs w:val="24"/>
        </w:rPr>
        <w:t>、监事会审核意见</w:t>
      </w:r>
    </w:p>
    <w:p>
      <w:pPr>
        <w:snapToGrid w:val="0"/>
        <w:spacing w:line="360" w:lineRule="auto"/>
        <w:ind w:firstLine="480" w:firstLineChars="200"/>
        <w:rPr>
          <w:rFonts w:hint="eastAsia"/>
          <w:color w:val="auto"/>
          <w:sz w:val="24"/>
          <w:szCs w:val="24"/>
        </w:rPr>
      </w:pPr>
      <w:r>
        <w:rPr>
          <w:rFonts w:hint="eastAsia"/>
          <w:color w:val="auto"/>
          <w:sz w:val="24"/>
          <w:szCs w:val="24"/>
        </w:rPr>
        <w:t>经审议，监事会认为：依据《企业会计准则》和公司相关会计政策的规定，公司20</w:t>
      </w:r>
      <w:r>
        <w:rPr>
          <w:rFonts w:hint="eastAsia"/>
          <w:color w:val="auto"/>
          <w:sz w:val="24"/>
          <w:szCs w:val="24"/>
          <w:lang w:val="en-US" w:eastAsia="zh-CN"/>
        </w:rPr>
        <w:t>24</w:t>
      </w:r>
      <w:r>
        <w:rPr>
          <w:rFonts w:hint="eastAsia"/>
          <w:color w:val="auto"/>
          <w:sz w:val="24"/>
          <w:szCs w:val="24"/>
        </w:rPr>
        <w:t>年度计提减值准备依据充分，公允的反映了公司资产状况，使公司关于资产价值的会计信息更加真实可靠，具有合理性。</w:t>
      </w:r>
    </w:p>
    <w:p>
      <w:pPr>
        <w:snapToGrid w:val="0"/>
        <w:spacing w:line="360" w:lineRule="auto"/>
        <w:ind w:firstLine="480" w:firstLineChars="200"/>
        <w:rPr>
          <w:rFonts w:hint="eastAsia"/>
          <w:color w:val="auto"/>
          <w:sz w:val="24"/>
          <w:szCs w:val="24"/>
        </w:rPr>
      </w:pPr>
      <w:r>
        <w:rPr>
          <w:rFonts w:hint="eastAsia"/>
          <w:color w:val="auto"/>
          <w:sz w:val="24"/>
          <w:szCs w:val="24"/>
        </w:rPr>
        <w:t>特此公告。</w:t>
      </w:r>
    </w:p>
    <w:p>
      <w:pPr>
        <w:snapToGrid w:val="0"/>
        <w:spacing w:line="360" w:lineRule="auto"/>
        <w:ind w:firstLine="480" w:firstLineChars="200"/>
        <w:rPr>
          <w:rFonts w:hint="eastAsia"/>
          <w:color w:val="auto"/>
          <w:sz w:val="24"/>
          <w:szCs w:val="24"/>
        </w:rPr>
      </w:pPr>
    </w:p>
    <w:p>
      <w:pPr>
        <w:snapToGrid w:val="0"/>
        <w:spacing w:line="360" w:lineRule="auto"/>
        <w:ind w:firstLine="480" w:firstLineChars="200"/>
        <w:rPr>
          <w:rFonts w:hint="eastAsia"/>
          <w:color w:val="auto"/>
          <w:sz w:val="24"/>
          <w:szCs w:val="24"/>
        </w:rPr>
      </w:pPr>
    </w:p>
    <w:p>
      <w:pPr>
        <w:snapToGrid w:val="0"/>
        <w:spacing w:line="360" w:lineRule="auto"/>
        <w:ind w:firstLine="480" w:firstLineChars="200"/>
        <w:rPr>
          <w:rFonts w:hint="eastAsia"/>
          <w:color w:val="auto"/>
          <w:sz w:val="24"/>
          <w:szCs w:val="24"/>
        </w:rPr>
      </w:pPr>
    </w:p>
    <w:p>
      <w:pPr>
        <w:snapToGrid w:val="0"/>
        <w:spacing w:line="360" w:lineRule="auto"/>
        <w:ind w:firstLine="482" w:firstLineChars="200"/>
        <w:jc w:val="right"/>
        <w:rPr>
          <w:rFonts w:hint="eastAsia"/>
          <w:b/>
          <w:color w:val="auto"/>
          <w:sz w:val="24"/>
          <w:szCs w:val="24"/>
        </w:rPr>
      </w:pPr>
      <w:r>
        <w:rPr>
          <w:rFonts w:hint="eastAsia"/>
          <w:b/>
          <w:color w:val="auto"/>
          <w:sz w:val="24"/>
          <w:szCs w:val="24"/>
        </w:rPr>
        <w:t>中广核核技术发展股份有限公司</w:t>
      </w:r>
    </w:p>
    <w:p>
      <w:pPr>
        <w:snapToGrid w:val="0"/>
        <w:spacing w:line="360" w:lineRule="auto"/>
        <w:ind w:firstLine="482" w:firstLineChars="200"/>
        <w:jc w:val="right"/>
        <w:rPr>
          <w:rFonts w:hint="eastAsia"/>
          <w:b/>
          <w:color w:val="auto"/>
          <w:sz w:val="24"/>
          <w:szCs w:val="24"/>
        </w:rPr>
      </w:pPr>
      <w:r>
        <w:rPr>
          <w:rFonts w:hint="eastAsia"/>
          <w:b/>
          <w:color w:val="auto"/>
          <w:sz w:val="24"/>
          <w:szCs w:val="24"/>
        </w:rPr>
        <w:t>董事会</w:t>
      </w:r>
    </w:p>
    <w:p>
      <w:pPr>
        <w:snapToGrid w:val="0"/>
        <w:spacing w:line="360" w:lineRule="auto"/>
        <w:ind w:firstLine="482" w:firstLineChars="200"/>
        <w:jc w:val="right"/>
        <w:rPr>
          <w:rFonts w:hint="eastAsia"/>
          <w:color w:val="auto"/>
          <w:sz w:val="24"/>
          <w:szCs w:val="24"/>
        </w:rPr>
      </w:pPr>
      <w:r>
        <w:rPr>
          <w:rFonts w:hint="eastAsia"/>
          <w:b/>
          <w:color w:val="auto"/>
          <w:sz w:val="24"/>
          <w:szCs w:val="24"/>
        </w:rPr>
        <w:t>202</w:t>
      </w:r>
      <w:r>
        <w:rPr>
          <w:rFonts w:hint="eastAsia"/>
          <w:b/>
          <w:color w:val="auto"/>
          <w:sz w:val="24"/>
          <w:szCs w:val="24"/>
          <w:lang w:val="en-US" w:eastAsia="zh-CN"/>
        </w:rPr>
        <w:t>5</w:t>
      </w:r>
      <w:r>
        <w:rPr>
          <w:rFonts w:hint="eastAsia"/>
          <w:b/>
          <w:color w:val="auto"/>
          <w:sz w:val="24"/>
          <w:szCs w:val="24"/>
        </w:rPr>
        <w:t>年4月</w:t>
      </w:r>
      <w:r>
        <w:rPr>
          <w:rFonts w:hint="eastAsia"/>
          <w:b/>
          <w:color w:val="auto"/>
          <w:sz w:val="24"/>
          <w:szCs w:val="24"/>
          <w:lang w:val="en-US" w:eastAsia="zh-CN"/>
        </w:rPr>
        <w:t>29</w:t>
      </w:r>
      <w:r>
        <w:rPr>
          <w:rFonts w:hint="eastAsia"/>
          <w:b/>
          <w:color w:val="auto"/>
          <w:sz w:val="24"/>
          <w:szCs w:val="24"/>
        </w:rPr>
        <w:t>日</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5"/>
      <w:lvlText w:val="%1、"/>
      <w:legacy w:legacy="1" w:legacySpace="0" w:legacyIndent="465"/>
      <w:lvlJc w:val="left"/>
      <w:pPr>
        <w:ind w:left="1035" w:hanging="465"/>
      </w:pPr>
      <w:rPr>
        <w:rFonts w:hint="eastAsia" w:ascii="楷体_GB2312" w:eastAsia="楷体_GB2312"/>
        <w:b w:val="0"/>
        <w:i w:val="0"/>
        <w:sz w:val="28"/>
        <w:u w:val="none"/>
      </w:rPr>
    </w:lvl>
  </w:abstractNum>
  <w:abstractNum w:abstractNumId="1">
    <w:nsid w:val="453534A6"/>
    <w:multiLevelType w:val="singleLevel"/>
    <w:tmpl w:val="453534A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69"/>
    <w:rsid w:val="00001B05"/>
    <w:rsid w:val="00001F37"/>
    <w:rsid w:val="00003433"/>
    <w:rsid w:val="00003F0A"/>
    <w:rsid w:val="00006238"/>
    <w:rsid w:val="0000729F"/>
    <w:rsid w:val="00013BAD"/>
    <w:rsid w:val="00013DE7"/>
    <w:rsid w:val="000147AE"/>
    <w:rsid w:val="0001622C"/>
    <w:rsid w:val="000222C4"/>
    <w:rsid w:val="00022AB4"/>
    <w:rsid w:val="00024767"/>
    <w:rsid w:val="000252E3"/>
    <w:rsid w:val="00027656"/>
    <w:rsid w:val="000314BA"/>
    <w:rsid w:val="00032084"/>
    <w:rsid w:val="00035417"/>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724A"/>
    <w:rsid w:val="000579AD"/>
    <w:rsid w:val="00062129"/>
    <w:rsid w:val="00062E11"/>
    <w:rsid w:val="00063A9B"/>
    <w:rsid w:val="00063F7F"/>
    <w:rsid w:val="000645B1"/>
    <w:rsid w:val="00064887"/>
    <w:rsid w:val="0006546C"/>
    <w:rsid w:val="00072D18"/>
    <w:rsid w:val="000804FE"/>
    <w:rsid w:val="00081090"/>
    <w:rsid w:val="00081A66"/>
    <w:rsid w:val="000822BE"/>
    <w:rsid w:val="000828BD"/>
    <w:rsid w:val="00082936"/>
    <w:rsid w:val="00086615"/>
    <w:rsid w:val="000868C9"/>
    <w:rsid w:val="00090342"/>
    <w:rsid w:val="00093C0D"/>
    <w:rsid w:val="000A68BD"/>
    <w:rsid w:val="000B0509"/>
    <w:rsid w:val="000B0888"/>
    <w:rsid w:val="000B22DD"/>
    <w:rsid w:val="000B3357"/>
    <w:rsid w:val="000B3495"/>
    <w:rsid w:val="000C3520"/>
    <w:rsid w:val="000C398E"/>
    <w:rsid w:val="000C50D1"/>
    <w:rsid w:val="000C5E04"/>
    <w:rsid w:val="000C6282"/>
    <w:rsid w:val="000C71E5"/>
    <w:rsid w:val="000C75AF"/>
    <w:rsid w:val="000D1032"/>
    <w:rsid w:val="000D2D28"/>
    <w:rsid w:val="000D3D05"/>
    <w:rsid w:val="000D57B0"/>
    <w:rsid w:val="000D6F96"/>
    <w:rsid w:val="000D7118"/>
    <w:rsid w:val="000E03B2"/>
    <w:rsid w:val="000E4970"/>
    <w:rsid w:val="000E4DC9"/>
    <w:rsid w:val="000E4FF5"/>
    <w:rsid w:val="000E54DE"/>
    <w:rsid w:val="000E6CD7"/>
    <w:rsid w:val="000F0B77"/>
    <w:rsid w:val="000F26C4"/>
    <w:rsid w:val="000F33E2"/>
    <w:rsid w:val="000F3BF3"/>
    <w:rsid w:val="000F3D49"/>
    <w:rsid w:val="000F3FEE"/>
    <w:rsid w:val="000F4132"/>
    <w:rsid w:val="000F55F2"/>
    <w:rsid w:val="000F69B3"/>
    <w:rsid w:val="000F6D10"/>
    <w:rsid w:val="000F7775"/>
    <w:rsid w:val="001008A5"/>
    <w:rsid w:val="00101550"/>
    <w:rsid w:val="00106F91"/>
    <w:rsid w:val="001077F4"/>
    <w:rsid w:val="00110C31"/>
    <w:rsid w:val="0011228F"/>
    <w:rsid w:val="00113D3C"/>
    <w:rsid w:val="00120AE3"/>
    <w:rsid w:val="00121480"/>
    <w:rsid w:val="00121797"/>
    <w:rsid w:val="00122815"/>
    <w:rsid w:val="00122928"/>
    <w:rsid w:val="00123294"/>
    <w:rsid w:val="00123D1A"/>
    <w:rsid w:val="001251EB"/>
    <w:rsid w:val="00127F6A"/>
    <w:rsid w:val="0013019C"/>
    <w:rsid w:val="00130517"/>
    <w:rsid w:val="001318C3"/>
    <w:rsid w:val="00132C15"/>
    <w:rsid w:val="001330A5"/>
    <w:rsid w:val="0013696E"/>
    <w:rsid w:val="00136AC4"/>
    <w:rsid w:val="00137A0B"/>
    <w:rsid w:val="00140B6F"/>
    <w:rsid w:val="00142DF0"/>
    <w:rsid w:val="00143646"/>
    <w:rsid w:val="00145710"/>
    <w:rsid w:val="001466E9"/>
    <w:rsid w:val="00147D93"/>
    <w:rsid w:val="00150D93"/>
    <w:rsid w:val="00152F22"/>
    <w:rsid w:val="00153693"/>
    <w:rsid w:val="00155356"/>
    <w:rsid w:val="001619BE"/>
    <w:rsid w:val="00166B28"/>
    <w:rsid w:val="0016700E"/>
    <w:rsid w:val="001672F9"/>
    <w:rsid w:val="001711B8"/>
    <w:rsid w:val="00171C64"/>
    <w:rsid w:val="001735A0"/>
    <w:rsid w:val="00174E35"/>
    <w:rsid w:val="00175408"/>
    <w:rsid w:val="001758B5"/>
    <w:rsid w:val="00175CBF"/>
    <w:rsid w:val="001779E1"/>
    <w:rsid w:val="0018038D"/>
    <w:rsid w:val="00180636"/>
    <w:rsid w:val="00182210"/>
    <w:rsid w:val="0018364A"/>
    <w:rsid w:val="001851C6"/>
    <w:rsid w:val="00186CD1"/>
    <w:rsid w:val="0019071C"/>
    <w:rsid w:val="00190AA3"/>
    <w:rsid w:val="00191724"/>
    <w:rsid w:val="0019389A"/>
    <w:rsid w:val="00193EE4"/>
    <w:rsid w:val="0019426B"/>
    <w:rsid w:val="001943AE"/>
    <w:rsid w:val="00196DD8"/>
    <w:rsid w:val="00197BE0"/>
    <w:rsid w:val="001A077E"/>
    <w:rsid w:val="001A198A"/>
    <w:rsid w:val="001A26DE"/>
    <w:rsid w:val="001A27C9"/>
    <w:rsid w:val="001A6D39"/>
    <w:rsid w:val="001A6DBB"/>
    <w:rsid w:val="001A726D"/>
    <w:rsid w:val="001A75E0"/>
    <w:rsid w:val="001B1368"/>
    <w:rsid w:val="001C1F46"/>
    <w:rsid w:val="001C52B0"/>
    <w:rsid w:val="001C591B"/>
    <w:rsid w:val="001C60BB"/>
    <w:rsid w:val="001D1554"/>
    <w:rsid w:val="001D1FD2"/>
    <w:rsid w:val="001D27C2"/>
    <w:rsid w:val="001D4F4C"/>
    <w:rsid w:val="001D7325"/>
    <w:rsid w:val="001E04CA"/>
    <w:rsid w:val="001E2F6C"/>
    <w:rsid w:val="001E504C"/>
    <w:rsid w:val="001E5811"/>
    <w:rsid w:val="001E5A48"/>
    <w:rsid w:val="001F1297"/>
    <w:rsid w:val="001F2B36"/>
    <w:rsid w:val="001F5845"/>
    <w:rsid w:val="001F6AA1"/>
    <w:rsid w:val="001F7A38"/>
    <w:rsid w:val="00200618"/>
    <w:rsid w:val="00200628"/>
    <w:rsid w:val="00203CC6"/>
    <w:rsid w:val="00203F93"/>
    <w:rsid w:val="002042D4"/>
    <w:rsid w:val="002046EF"/>
    <w:rsid w:val="00210B8B"/>
    <w:rsid w:val="0021237C"/>
    <w:rsid w:val="00213050"/>
    <w:rsid w:val="002144C1"/>
    <w:rsid w:val="0021591A"/>
    <w:rsid w:val="00217E38"/>
    <w:rsid w:val="00221786"/>
    <w:rsid w:val="002219F2"/>
    <w:rsid w:val="00222E37"/>
    <w:rsid w:val="00223FEE"/>
    <w:rsid w:val="00225612"/>
    <w:rsid w:val="00227455"/>
    <w:rsid w:val="00227D09"/>
    <w:rsid w:val="00231432"/>
    <w:rsid w:val="00232CED"/>
    <w:rsid w:val="00241B2A"/>
    <w:rsid w:val="00241C22"/>
    <w:rsid w:val="0024605D"/>
    <w:rsid w:val="00253C07"/>
    <w:rsid w:val="00253EB5"/>
    <w:rsid w:val="0025589F"/>
    <w:rsid w:val="002572B1"/>
    <w:rsid w:val="0025767F"/>
    <w:rsid w:val="0026017F"/>
    <w:rsid w:val="00261D1D"/>
    <w:rsid w:val="0026213E"/>
    <w:rsid w:val="002624D9"/>
    <w:rsid w:val="002654A6"/>
    <w:rsid w:val="00265BAC"/>
    <w:rsid w:val="00265BF8"/>
    <w:rsid w:val="00266E89"/>
    <w:rsid w:val="00267A6E"/>
    <w:rsid w:val="002710C2"/>
    <w:rsid w:val="002721D6"/>
    <w:rsid w:val="002733BF"/>
    <w:rsid w:val="00273AF5"/>
    <w:rsid w:val="00273E92"/>
    <w:rsid w:val="002815FE"/>
    <w:rsid w:val="0028160F"/>
    <w:rsid w:val="002819A7"/>
    <w:rsid w:val="00285ECD"/>
    <w:rsid w:val="00286AE0"/>
    <w:rsid w:val="00287353"/>
    <w:rsid w:val="00290C4C"/>
    <w:rsid w:val="0029131D"/>
    <w:rsid w:val="002926F5"/>
    <w:rsid w:val="00292860"/>
    <w:rsid w:val="00295EA0"/>
    <w:rsid w:val="00296EE8"/>
    <w:rsid w:val="002A4FCB"/>
    <w:rsid w:val="002A5C87"/>
    <w:rsid w:val="002B01C7"/>
    <w:rsid w:val="002B03AF"/>
    <w:rsid w:val="002B22B3"/>
    <w:rsid w:val="002B7513"/>
    <w:rsid w:val="002C4293"/>
    <w:rsid w:val="002D21A8"/>
    <w:rsid w:val="002D4942"/>
    <w:rsid w:val="002D4AB5"/>
    <w:rsid w:val="002D6A15"/>
    <w:rsid w:val="002D746D"/>
    <w:rsid w:val="002D7DFE"/>
    <w:rsid w:val="002E03A2"/>
    <w:rsid w:val="002E3DE1"/>
    <w:rsid w:val="002E6C30"/>
    <w:rsid w:val="002E6E2C"/>
    <w:rsid w:val="002E7E85"/>
    <w:rsid w:val="002E7F16"/>
    <w:rsid w:val="002F0134"/>
    <w:rsid w:val="002F15EF"/>
    <w:rsid w:val="002F6A0E"/>
    <w:rsid w:val="002F731C"/>
    <w:rsid w:val="0030260F"/>
    <w:rsid w:val="00302905"/>
    <w:rsid w:val="003035D6"/>
    <w:rsid w:val="003062F8"/>
    <w:rsid w:val="003063A6"/>
    <w:rsid w:val="003063BB"/>
    <w:rsid w:val="00310B85"/>
    <w:rsid w:val="00310EFD"/>
    <w:rsid w:val="0031131E"/>
    <w:rsid w:val="003134E1"/>
    <w:rsid w:val="00315795"/>
    <w:rsid w:val="00317F0E"/>
    <w:rsid w:val="00320ACB"/>
    <w:rsid w:val="0032419B"/>
    <w:rsid w:val="00325AA5"/>
    <w:rsid w:val="00326EE7"/>
    <w:rsid w:val="00327C50"/>
    <w:rsid w:val="003318C5"/>
    <w:rsid w:val="00331EDD"/>
    <w:rsid w:val="00332548"/>
    <w:rsid w:val="0033435E"/>
    <w:rsid w:val="00334491"/>
    <w:rsid w:val="00337925"/>
    <w:rsid w:val="003431A6"/>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296"/>
    <w:rsid w:val="003646FE"/>
    <w:rsid w:val="0036792F"/>
    <w:rsid w:val="00367B9E"/>
    <w:rsid w:val="00370C0B"/>
    <w:rsid w:val="003719EF"/>
    <w:rsid w:val="0037248B"/>
    <w:rsid w:val="00373CFD"/>
    <w:rsid w:val="0037678A"/>
    <w:rsid w:val="00381162"/>
    <w:rsid w:val="00386C81"/>
    <w:rsid w:val="003900E3"/>
    <w:rsid w:val="00392691"/>
    <w:rsid w:val="00392A36"/>
    <w:rsid w:val="0039362B"/>
    <w:rsid w:val="00395D6C"/>
    <w:rsid w:val="003964DA"/>
    <w:rsid w:val="003A292F"/>
    <w:rsid w:val="003A2989"/>
    <w:rsid w:val="003A2A74"/>
    <w:rsid w:val="003A3403"/>
    <w:rsid w:val="003A4AB1"/>
    <w:rsid w:val="003A7C90"/>
    <w:rsid w:val="003B1B62"/>
    <w:rsid w:val="003B2FBC"/>
    <w:rsid w:val="003B4BB5"/>
    <w:rsid w:val="003B546C"/>
    <w:rsid w:val="003C03F3"/>
    <w:rsid w:val="003C0743"/>
    <w:rsid w:val="003C0B6B"/>
    <w:rsid w:val="003C0CB3"/>
    <w:rsid w:val="003C2326"/>
    <w:rsid w:val="003C2CB4"/>
    <w:rsid w:val="003C2E06"/>
    <w:rsid w:val="003C3CE1"/>
    <w:rsid w:val="003C5EA8"/>
    <w:rsid w:val="003C6F4E"/>
    <w:rsid w:val="003D0362"/>
    <w:rsid w:val="003D1392"/>
    <w:rsid w:val="003D1DEA"/>
    <w:rsid w:val="003D3D95"/>
    <w:rsid w:val="003D60C8"/>
    <w:rsid w:val="003D6BA8"/>
    <w:rsid w:val="003D7072"/>
    <w:rsid w:val="003E0DBA"/>
    <w:rsid w:val="003E395E"/>
    <w:rsid w:val="003E44D7"/>
    <w:rsid w:val="003E4C69"/>
    <w:rsid w:val="003E5295"/>
    <w:rsid w:val="003E54CA"/>
    <w:rsid w:val="003E584F"/>
    <w:rsid w:val="003E7FF5"/>
    <w:rsid w:val="003F0050"/>
    <w:rsid w:val="003F0402"/>
    <w:rsid w:val="003F07F0"/>
    <w:rsid w:val="003F27DF"/>
    <w:rsid w:val="003F2969"/>
    <w:rsid w:val="003F3D44"/>
    <w:rsid w:val="003F4A59"/>
    <w:rsid w:val="003F61E2"/>
    <w:rsid w:val="003F7F2A"/>
    <w:rsid w:val="004004A6"/>
    <w:rsid w:val="0040098A"/>
    <w:rsid w:val="00400D97"/>
    <w:rsid w:val="00402ED1"/>
    <w:rsid w:val="00403BC7"/>
    <w:rsid w:val="0040407C"/>
    <w:rsid w:val="004054C4"/>
    <w:rsid w:val="00405A64"/>
    <w:rsid w:val="0040741F"/>
    <w:rsid w:val="004100A0"/>
    <w:rsid w:val="00410D4C"/>
    <w:rsid w:val="00412C83"/>
    <w:rsid w:val="00412FC6"/>
    <w:rsid w:val="00414DAF"/>
    <w:rsid w:val="00415A70"/>
    <w:rsid w:val="00416DB9"/>
    <w:rsid w:val="00417251"/>
    <w:rsid w:val="00420BD6"/>
    <w:rsid w:val="00420C33"/>
    <w:rsid w:val="00422294"/>
    <w:rsid w:val="00425D5C"/>
    <w:rsid w:val="004271E2"/>
    <w:rsid w:val="00427883"/>
    <w:rsid w:val="0043136C"/>
    <w:rsid w:val="00431A2F"/>
    <w:rsid w:val="004326D7"/>
    <w:rsid w:val="00433A97"/>
    <w:rsid w:val="004377D7"/>
    <w:rsid w:val="00445D18"/>
    <w:rsid w:val="00447146"/>
    <w:rsid w:val="0045056A"/>
    <w:rsid w:val="00451457"/>
    <w:rsid w:val="00456040"/>
    <w:rsid w:val="0045640F"/>
    <w:rsid w:val="00457B40"/>
    <w:rsid w:val="00457CA7"/>
    <w:rsid w:val="00460E7C"/>
    <w:rsid w:val="00460F8C"/>
    <w:rsid w:val="00461DEF"/>
    <w:rsid w:val="004624B3"/>
    <w:rsid w:val="00462862"/>
    <w:rsid w:val="0046429F"/>
    <w:rsid w:val="00465BF0"/>
    <w:rsid w:val="0047101A"/>
    <w:rsid w:val="00474C11"/>
    <w:rsid w:val="00477DBE"/>
    <w:rsid w:val="00481AA6"/>
    <w:rsid w:val="00482B64"/>
    <w:rsid w:val="004833D2"/>
    <w:rsid w:val="00483D7A"/>
    <w:rsid w:val="0048507C"/>
    <w:rsid w:val="00486D35"/>
    <w:rsid w:val="004879F6"/>
    <w:rsid w:val="004908EC"/>
    <w:rsid w:val="0049198B"/>
    <w:rsid w:val="00493CB0"/>
    <w:rsid w:val="00493E25"/>
    <w:rsid w:val="00493EF0"/>
    <w:rsid w:val="00494706"/>
    <w:rsid w:val="00494EE8"/>
    <w:rsid w:val="00495998"/>
    <w:rsid w:val="00496160"/>
    <w:rsid w:val="0049697C"/>
    <w:rsid w:val="00497F57"/>
    <w:rsid w:val="004A1ADC"/>
    <w:rsid w:val="004A365A"/>
    <w:rsid w:val="004B1E05"/>
    <w:rsid w:val="004B2AA2"/>
    <w:rsid w:val="004B3D7C"/>
    <w:rsid w:val="004B4988"/>
    <w:rsid w:val="004C2611"/>
    <w:rsid w:val="004C4EF5"/>
    <w:rsid w:val="004D0DF8"/>
    <w:rsid w:val="004D0F2E"/>
    <w:rsid w:val="004D1890"/>
    <w:rsid w:val="004D24CE"/>
    <w:rsid w:val="004D4403"/>
    <w:rsid w:val="004D5EE0"/>
    <w:rsid w:val="004E0EB1"/>
    <w:rsid w:val="004E1014"/>
    <w:rsid w:val="004E1819"/>
    <w:rsid w:val="004E39CC"/>
    <w:rsid w:val="004E3A40"/>
    <w:rsid w:val="004E6620"/>
    <w:rsid w:val="004E7D49"/>
    <w:rsid w:val="004E7DEE"/>
    <w:rsid w:val="004F21A4"/>
    <w:rsid w:val="004F2974"/>
    <w:rsid w:val="004F3CF8"/>
    <w:rsid w:val="004F5478"/>
    <w:rsid w:val="004F6473"/>
    <w:rsid w:val="005007E2"/>
    <w:rsid w:val="00501F06"/>
    <w:rsid w:val="00503452"/>
    <w:rsid w:val="005039FC"/>
    <w:rsid w:val="0050770E"/>
    <w:rsid w:val="005116FD"/>
    <w:rsid w:val="00516D72"/>
    <w:rsid w:val="005224F0"/>
    <w:rsid w:val="00523355"/>
    <w:rsid w:val="00523AA6"/>
    <w:rsid w:val="005242ED"/>
    <w:rsid w:val="00524753"/>
    <w:rsid w:val="0052623C"/>
    <w:rsid w:val="00527F5B"/>
    <w:rsid w:val="005303D6"/>
    <w:rsid w:val="00530F93"/>
    <w:rsid w:val="00531D5B"/>
    <w:rsid w:val="005331CF"/>
    <w:rsid w:val="0053371C"/>
    <w:rsid w:val="00537B62"/>
    <w:rsid w:val="00540445"/>
    <w:rsid w:val="00540C51"/>
    <w:rsid w:val="00542933"/>
    <w:rsid w:val="005454D5"/>
    <w:rsid w:val="00550D32"/>
    <w:rsid w:val="00553397"/>
    <w:rsid w:val="005549AD"/>
    <w:rsid w:val="005550AE"/>
    <w:rsid w:val="005552D9"/>
    <w:rsid w:val="00555C62"/>
    <w:rsid w:val="005565AC"/>
    <w:rsid w:val="00557C71"/>
    <w:rsid w:val="00566CDD"/>
    <w:rsid w:val="00566ECF"/>
    <w:rsid w:val="00570EA4"/>
    <w:rsid w:val="005777B9"/>
    <w:rsid w:val="00580136"/>
    <w:rsid w:val="00584937"/>
    <w:rsid w:val="00584BA1"/>
    <w:rsid w:val="00584DA1"/>
    <w:rsid w:val="00585497"/>
    <w:rsid w:val="005870C8"/>
    <w:rsid w:val="00587BF1"/>
    <w:rsid w:val="0059030C"/>
    <w:rsid w:val="00590CD5"/>
    <w:rsid w:val="005956B0"/>
    <w:rsid w:val="00596D32"/>
    <w:rsid w:val="005A1320"/>
    <w:rsid w:val="005A4CA8"/>
    <w:rsid w:val="005A72D8"/>
    <w:rsid w:val="005B3A52"/>
    <w:rsid w:val="005C0744"/>
    <w:rsid w:val="005C3F4D"/>
    <w:rsid w:val="005D0A19"/>
    <w:rsid w:val="005D0D8C"/>
    <w:rsid w:val="005D3F2F"/>
    <w:rsid w:val="005D7223"/>
    <w:rsid w:val="005E0C92"/>
    <w:rsid w:val="005E105C"/>
    <w:rsid w:val="005E2E05"/>
    <w:rsid w:val="005E3306"/>
    <w:rsid w:val="005E4DA6"/>
    <w:rsid w:val="005E6583"/>
    <w:rsid w:val="005F1E32"/>
    <w:rsid w:val="005F2A66"/>
    <w:rsid w:val="005F35E4"/>
    <w:rsid w:val="005F3CD7"/>
    <w:rsid w:val="005F7051"/>
    <w:rsid w:val="00605620"/>
    <w:rsid w:val="00606C39"/>
    <w:rsid w:val="0061038E"/>
    <w:rsid w:val="00611B4C"/>
    <w:rsid w:val="00613BCA"/>
    <w:rsid w:val="006159E9"/>
    <w:rsid w:val="00615CA9"/>
    <w:rsid w:val="0061686A"/>
    <w:rsid w:val="006170F1"/>
    <w:rsid w:val="00617233"/>
    <w:rsid w:val="006204BA"/>
    <w:rsid w:val="006240FE"/>
    <w:rsid w:val="00624D1A"/>
    <w:rsid w:val="00626146"/>
    <w:rsid w:val="00630AA0"/>
    <w:rsid w:val="0063150E"/>
    <w:rsid w:val="0063222D"/>
    <w:rsid w:val="00632817"/>
    <w:rsid w:val="00634D71"/>
    <w:rsid w:val="0063550F"/>
    <w:rsid w:val="00636B7E"/>
    <w:rsid w:val="00637763"/>
    <w:rsid w:val="00642525"/>
    <w:rsid w:val="00643727"/>
    <w:rsid w:val="006453E7"/>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C42"/>
    <w:rsid w:val="00680C95"/>
    <w:rsid w:val="00683E22"/>
    <w:rsid w:val="006857C3"/>
    <w:rsid w:val="0069030B"/>
    <w:rsid w:val="00691439"/>
    <w:rsid w:val="00693012"/>
    <w:rsid w:val="006934B5"/>
    <w:rsid w:val="006946BB"/>
    <w:rsid w:val="006972AD"/>
    <w:rsid w:val="00697BAD"/>
    <w:rsid w:val="006A1C6F"/>
    <w:rsid w:val="006A209E"/>
    <w:rsid w:val="006A2693"/>
    <w:rsid w:val="006A5E20"/>
    <w:rsid w:val="006B17F7"/>
    <w:rsid w:val="006B1B3C"/>
    <w:rsid w:val="006B322C"/>
    <w:rsid w:val="006B32BF"/>
    <w:rsid w:val="006B444E"/>
    <w:rsid w:val="006B768B"/>
    <w:rsid w:val="006C17F8"/>
    <w:rsid w:val="006C3121"/>
    <w:rsid w:val="006C34E7"/>
    <w:rsid w:val="006C5854"/>
    <w:rsid w:val="006C71F2"/>
    <w:rsid w:val="006D1331"/>
    <w:rsid w:val="006D24A5"/>
    <w:rsid w:val="006D39D0"/>
    <w:rsid w:val="006D4403"/>
    <w:rsid w:val="006D7A8A"/>
    <w:rsid w:val="006E093A"/>
    <w:rsid w:val="006E0DA2"/>
    <w:rsid w:val="006E22F6"/>
    <w:rsid w:val="006E2BE6"/>
    <w:rsid w:val="006E2EAB"/>
    <w:rsid w:val="006E4F70"/>
    <w:rsid w:val="006E526A"/>
    <w:rsid w:val="006E79D3"/>
    <w:rsid w:val="006F08C6"/>
    <w:rsid w:val="006F2783"/>
    <w:rsid w:val="006F2CE6"/>
    <w:rsid w:val="006F406C"/>
    <w:rsid w:val="006F4AAE"/>
    <w:rsid w:val="006F5D6A"/>
    <w:rsid w:val="006F6E1C"/>
    <w:rsid w:val="006F715E"/>
    <w:rsid w:val="00700006"/>
    <w:rsid w:val="007005CA"/>
    <w:rsid w:val="00700761"/>
    <w:rsid w:val="00702852"/>
    <w:rsid w:val="00702A98"/>
    <w:rsid w:val="00702FAD"/>
    <w:rsid w:val="00706136"/>
    <w:rsid w:val="00710426"/>
    <w:rsid w:val="00710858"/>
    <w:rsid w:val="007134A0"/>
    <w:rsid w:val="00715B3D"/>
    <w:rsid w:val="00716232"/>
    <w:rsid w:val="007162F2"/>
    <w:rsid w:val="00716C3D"/>
    <w:rsid w:val="00722AE8"/>
    <w:rsid w:val="0072305D"/>
    <w:rsid w:val="0072360C"/>
    <w:rsid w:val="00723937"/>
    <w:rsid w:val="007303CA"/>
    <w:rsid w:val="00730F53"/>
    <w:rsid w:val="0073247B"/>
    <w:rsid w:val="00733A17"/>
    <w:rsid w:val="00733D3D"/>
    <w:rsid w:val="00734E36"/>
    <w:rsid w:val="00740AB8"/>
    <w:rsid w:val="00740DAC"/>
    <w:rsid w:val="0074467B"/>
    <w:rsid w:val="00744E34"/>
    <w:rsid w:val="00745DFA"/>
    <w:rsid w:val="00747593"/>
    <w:rsid w:val="007475D7"/>
    <w:rsid w:val="00751696"/>
    <w:rsid w:val="00753911"/>
    <w:rsid w:val="00753AD4"/>
    <w:rsid w:val="007545CE"/>
    <w:rsid w:val="0075504F"/>
    <w:rsid w:val="00755596"/>
    <w:rsid w:val="007610F3"/>
    <w:rsid w:val="007627B2"/>
    <w:rsid w:val="00770B79"/>
    <w:rsid w:val="007740D4"/>
    <w:rsid w:val="00775D17"/>
    <w:rsid w:val="00777B97"/>
    <w:rsid w:val="007802AE"/>
    <w:rsid w:val="007823C8"/>
    <w:rsid w:val="007838FB"/>
    <w:rsid w:val="00784428"/>
    <w:rsid w:val="007847B7"/>
    <w:rsid w:val="007862F9"/>
    <w:rsid w:val="00786927"/>
    <w:rsid w:val="0079270C"/>
    <w:rsid w:val="0079334D"/>
    <w:rsid w:val="00793EB9"/>
    <w:rsid w:val="00797A7D"/>
    <w:rsid w:val="007A198A"/>
    <w:rsid w:val="007A2A9E"/>
    <w:rsid w:val="007A40D7"/>
    <w:rsid w:val="007A577B"/>
    <w:rsid w:val="007A62DB"/>
    <w:rsid w:val="007A6E3D"/>
    <w:rsid w:val="007A7F89"/>
    <w:rsid w:val="007B007C"/>
    <w:rsid w:val="007B088F"/>
    <w:rsid w:val="007B2111"/>
    <w:rsid w:val="007B2CA4"/>
    <w:rsid w:val="007B3B6A"/>
    <w:rsid w:val="007B69F4"/>
    <w:rsid w:val="007B7C4C"/>
    <w:rsid w:val="007C261C"/>
    <w:rsid w:val="007C3C54"/>
    <w:rsid w:val="007C74BE"/>
    <w:rsid w:val="007D02E0"/>
    <w:rsid w:val="007D53AD"/>
    <w:rsid w:val="007D5946"/>
    <w:rsid w:val="007D77E3"/>
    <w:rsid w:val="007E08FE"/>
    <w:rsid w:val="007E1D0E"/>
    <w:rsid w:val="007E2DAF"/>
    <w:rsid w:val="007E5775"/>
    <w:rsid w:val="007E652F"/>
    <w:rsid w:val="007F3469"/>
    <w:rsid w:val="007F58F0"/>
    <w:rsid w:val="00800509"/>
    <w:rsid w:val="008008A3"/>
    <w:rsid w:val="00802140"/>
    <w:rsid w:val="008021AC"/>
    <w:rsid w:val="00803C20"/>
    <w:rsid w:val="008069B6"/>
    <w:rsid w:val="00806EB4"/>
    <w:rsid w:val="00807400"/>
    <w:rsid w:val="0081143F"/>
    <w:rsid w:val="00811612"/>
    <w:rsid w:val="00812E89"/>
    <w:rsid w:val="00814C84"/>
    <w:rsid w:val="00815DA7"/>
    <w:rsid w:val="00821CF8"/>
    <w:rsid w:val="00821E29"/>
    <w:rsid w:val="00823195"/>
    <w:rsid w:val="00827788"/>
    <w:rsid w:val="0083025F"/>
    <w:rsid w:val="0083099C"/>
    <w:rsid w:val="00830A44"/>
    <w:rsid w:val="00832537"/>
    <w:rsid w:val="00833A64"/>
    <w:rsid w:val="00836155"/>
    <w:rsid w:val="00836D6C"/>
    <w:rsid w:val="00836F29"/>
    <w:rsid w:val="008444D6"/>
    <w:rsid w:val="00846EC2"/>
    <w:rsid w:val="00847E3F"/>
    <w:rsid w:val="008516BC"/>
    <w:rsid w:val="00853E68"/>
    <w:rsid w:val="0085655E"/>
    <w:rsid w:val="00862696"/>
    <w:rsid w:val="008629B0"/>
    <w:rsid w:val="0086311A"/>
    <w:rsid w:val="008648F7"/>
    <w:rsid w:val="008652D5"/>
    <w:rsid w:val="00867CD3"/>
    <w:rsid w:val="00870046"/>
    <w:rsid w:val="008711C0"/>
    <w:rsid w:val="00873BA3"/>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6432"/>
    <w:rsid w:val="00897DC3"/>
    <w:rsid w:val="008A058C"/>
    <w:rsid w:val="008A2897"/>
    <w:rsid w:val="008A296B"/>
    <w:rsid w:val="008A3968"/>
    <w:rsid w:val="008A5EF8"/>
    <w:rsid w:val="008A77CB"/>
    <w:rsid w:val="008B142A"/>
    <w:rsid w:val="008B2DD6"/>
    <w:rsid w:val="008B51EC"/>
    <w:rsid w:val="008B5518"/>
    <w:rsid w:val="008B5690"/>
    <w:rsid w:val="008B5D46"/>
    <w:rsid w:val="008B6972"/>
    <w:rsid w:val="008B6DF2"/>
    <w:rsid w:val="008B6F11"/>
    <w:rsid w:val="008B718D"/>
    <w:rsid w:val="008B7AC8"/>
    <w:rsid w:val="008C0D4A"/>
    <w:rsid w:val="008C3079"/>
    <w:rsid w:val="008C3A0A"/>
    <w:rsid w:val="008C3AF2"/>
    <w:rsid w:val="008C4CBE"/>
    <w:rsid w:val="008C5723"/>
    <w:rsid w:val="008C5CC6"/>
    <w:rsid w:val="008C6A19"/>
    <w:rsid w:val="008D21B7"/>
    <w:rsid w:val="008D26B8"/>
    <w:rsid w:val="008D2A32"/>
    <w:rsid w:val="008D31A2"/>
    <w:rsid w:val="008D388D"/>
    <w:rsid w:val="008D3ADB"/>
    <w:rsid w:val="008D511F"/>
    <w:rsid w:val="008E1B45"/>
    <w:rsid w:val="008E1C8B"/>
    <w:rsid w:val="008E2829"/>
    <w:rsid w:val="008E3435"/>
    <w:rsid w:val="008E5BFD"/>
    <w:rsid w:val="008E6E4D"/>
    <w:rsid w:val="008E759F"/>
    <w:rsid w:val="008E7C7B"/>
    <w:rsid w:val="008F3F5E"/>
    <w:rsid w:val="008F4325"/>
    <w:rsid w:val="008F4735"/>
    <w:rsid w:val="008F478A"/>
    <w:rsid w:val="008F6A95"/>
    <w:rsid w:val="008F7457"/>
    <w:rsid w:val="00912A93"/>
    <w:rsid w:val="00913D6F"/>
    <w:rsid w:val="00914BC1"/>
    <w:rsid w:val="00915497"/>
    <w:rsid w:val="0091560D"/>
    <w:rsid w:val="00916CA2"/>
    <w:rsid w:val="00917392"/>
    <w:rsid w:val="0091755E"/>
    <w:rsid w:val="00920C1C"/>
    <w:rsid w:val="009216D3"/>
    <w:rsid w:val="00922B6D"/>
    <w:rsid w:val="00924E12"/>
    <w:rsid w:val="00924F01"/>
    <w:rsid w:val="0092594D"/>
    <w:rsid w:val="00932C50"/>
    <w:rsid w:val="0093317B"/>
    <w:rsid w:val="00933722"/>
    <w:rsid w:val="00933A98"/>
    <w:rsid w:val="0093581C"/>
    <w:rsid w:val="00941418"/>
    <w:rsid w:val="00942C19"/>
    <w:rsid w:val="00943047"/>
    <w:rsid w:val="00943D83"/>
    <w:rsid w:val="00947275"/>
    <w:rsid w:val="009475E1"/>
    <w:rsid w:val="00950C04"/>
    <w:rsid w:val="0095148B"/>
    <w:rsid w:val="0095164E"/>
    <w:rsid w:val="009554FF"/>
    <w:rsid w:val="00956B63"/>
    <w:rsid w:val="00961BD2"/>
    <w:rsid w:val="0096261D"/>
    <w:rsid w:val="009644C0"/>
    <w:rsid w:val="00964D31"/>
    <w:rsid w:val="009657AE"/>
    <w:rsid w:val="009667F1"/>
    <w:rsid w:val="00966E8A"/>
    <w:rsid w:val="009709F2"/>
    <w:rsid w:val="00972012"/>
    <w:rsid w:val="0097255F"/>
    <w:rsid w:val="00973282"/>
    <w:rsid w:val="00973EA7"/>
    <w:rsid w:val="009765BD"/>
    <w:rsid w:val="00976979"/>
    <w:rsid w:val="00976CE0"/>
    <w:rsid w:val="00977388"/>
    <w:rsid w:val="00977493"/>
    <w:rsid w:val="00981E18"/>
    <w:rsid w:val="009842E9"/>
    <w:rsid w:val="00985599"/>
    <w:rsid w:val="00985B70"/>
    <w:rsid w:val="009930C3"/>
    <w:rsid w:val="0099415E"/>
    <w:rsid w:val="00995B71"/>
    <w:rsid w:val="0099629A"/>
    <w:rsid w:val="009A137D"/>
    <w:rsid w:val="009A2381"/>
    <w:rsid w:val="009A364A"/>
    <w:rsid w:val="009A38E7"/>
    <w:rsid w:val="009A4E27"/>
    <w:rsid w:val="009B01FB"/>
    <w:rsid w:val="009B2245"/>
    <w:rsid w:val="009B28D6"/>
    <w:rsid w:val="009B652C"/>
    <w:rsid w:val="009C1FB9"/>
    <w:rsid w:val="009C4852"/>
    <w:rsid w:val="009C723C"/>
    <w:rsid w:val="009D240B"/>
    <w:rsid w:val="009D2418"/>
    <w:rsid w:val="009D31B1"/>
    <w:rsid w:val="009D341B"/>
    <w:rsid w:val="009D45A0"/>
    <w:rsid w:val="009D5376"/>
    <w:rsid w:val="009D5DDD"/>
    <w:rsid w:val="009D76B0"/>
    <w:rsid w:val="009E3356"/>
    <w:rsid w:val="009E5A7D"/>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1DC2"/>
    <w:rsid w:val="00A42BCF"/>
    <w:rsid w:val="00A42D7C"/>
    <w:rsid w:val="00A43E47"/>
    <w:rsid w:val="00A451BD"/>
    <w:rsid w:val="00A4747D"/>
    <w:rsid w:val="00A503A2"/>
    <w:rsid w:val="00A50CAF"/>
    <w:rsid w:val="00A55B47"/>
    <w:rsid w:val="00A569CA"/>
    <w:rsid w:val="00A571FF"/>
    <w:rsid w:val="00A57D61"/>
    <w:rsid w:val="00A57DEC"/>
    <w:rsid w:val="00A622A9"/>
    <w:rsid w:val="00A627CF"/>
    <w:rsid w:val="00A63330"/>
    <w:rsid w:val="00A64883"/>
    <w:rsid w:val="00A66724"/>
    <w:rsid w:val="00A67248"/>
    <w:rsid w:val="00A71F5F"/>
    <w:rsid w:val="00A72A00"/>
    <w:rsid w:val="00A7493B"/>
    <w:rsid w:val="00A74F52"/>
    <w:rsid w:val="00A75EB3"/>
    <w:rsid w:val="00A76E2B"/>
    <w:rsid w:val="00A81CC3"/>
    <w:rsid w:val="00A82521"/>
    <w:rsid w:val="00A865E5"/>
    <w:rsid w:val="00A86B40"/>
    <w:rsid w:val="00A902B4"/>
    <w:rsid w:val="00A90B03"/>
    <w:rsid w:val="00A91721"/>
    <w:rsid w:val="00A91D75"/>
    <w:rsid w:val="00A91E0E"/>
    <w:rsid w:val="00A9289B"/>
    <w:rsid w:val="00A945A9"/>
    <w:rsid w:val="00A9498D"/>
    <w:rsid w:val="00A96132"/>
    <w:rsid w:val="00A9700B"/>
    <w:rsid w:val="00AA0787"/>
    <w:rsid w:val="00AA1A6C"/>
    <w:rsid w:val="00AA33A9"/>
    <w:rsid w:val="00AA476E"/>
    <w:rsid w:val="00AA4AA1"/>
    <w:rsid w:val="00AA7562"/>
    <w:rsid w:val="00AA75B1"/>
    <w:rsid w:val="00AA768C"/>
    <w:rsid w:val="00AB2128"/>
    <w:rsid w:val="00AB24EF"/>
    <w:rsid w:val="00AB295D"/>
    <w:rsid w:val="00AB3068"/>
    <w:rsid w:val="00AB3F07"/>
    <w:rsid w:val="00AB5465"/>
    <w:rsid w:val="00AB60AA"/>
    <w:rsid w:val="00AB6F2F"/>
    <w:rsid w:val="00AC0B61"/>
    <w:rsid w:val="00AC3629"/>
    <w:rsid w:val="00AC46C6"/>
    <w:rsid w:val="00AC60FC"/>
    <w:rsid w:val="00AC694B"/>
    <w:rsid w:val="00AC69C1"/>
    <w:rsid w:val="00AC7FF2"/>
    <w:rsid w:val="00AD0854"/>
    <w:rsid w:val="00AD194D"/>
    <w:rsid w:val="00AD27D3"/>
    <w:rsid w:val="00AD52C2"/>
    <w:rsid w:val="00AD5E7D"/>
    <w:rsid w:val="00AD676C"/>
    <w:rsid w:val="00AE1D4A"/>
    <w:rsid w:val="00AE3319"/>
    <w:rsid w:val="00AE4E78"/>
    <w:rsid w:val="00AE61B8"/>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21053"/>
    <w:rsid w:val="00B215E0"/>
    <w:rsid w:val="00B21B2E"/>
    <w:rsid w:val="00B22A2E"/>
    <w:rsid w:val="00B22F30"/>
    <w:rsid w:val="00B233D6"/>
    <w:rsid w:val="00B275FD"/>
    <w:rsid w:val="00B3050E"/>
    <w:rsid w:val="00B31606"/>
    <w:rsid w:val="00B34661"/>
    <w:rsid w:val="00B4086E"/>
    <w:rsid w:val="00B44726"/>
    <w:rsid w:val="00B44BB7"/>
    <w:rsid w:val="00B45575"/>
    <w:rsid w:val="00B45CEC"/>
    <w:rsid w:val="00B45F85"/>
    <w:rsid w:val="00B514D5"/>
    <w:rsid w:val="00B522F2"/>
    <w:rsid w:val="00B54BED"/>
    <w:rsid w:val="00B60136"/>
    <w:rsid w:val="00B60205"/>
    <w:rsid w:val="00B6126A"/>
    <w:rsid w:val="00B61285"/>
    <w:rsid w:val="00B61617"/>
    <w:rsid w:val="00B616C7"/>
    <w:rsid w:val="00B63347"/>
    <w:rsid w:val="00B637DC"/>
    <w:rsid w:val="00B6394E"/>
    <w:rsid w:val="00B6496A"/>
    <w:rsid w:val="00B650B4"/>
    <w:rsid w:val="00B67524"/>
    <w:rsid w:val="00B70DF2"/>
    <w:rsid w:val="00B72369"/>
    <w:rsid w:val="00B734A0"/>
    <w:rsid w:val="00B747EE"/>
    <w:rsid w:val="00B77DA7"/>
    <w:rsid w:val="00B806DF"/>
    <w:rsid w:val="00B81E50"/>
    <w:rsid w:val="00B82C78"/>
    <w:rsid w:val="00B8659D"/>
    <w:rsid w:val="00B87BDB"/>
    <w:rsid w:val="00B95EE5"/>
    <w:rsid w:val="00BA00BC"/>
    <w:rsid w:val="00BA0AFE"/>
    <w:rsid w:val="00BA0BA8"/>
    <w:rsid w:val="00BA1B40"/>
    <w:rsid w:val="00BA20EF"/>
    <w:rsid w:val="00BA3B05"/>
    <w:rsid w:val="00BA738D"/>
    <w:rsid w:val="00BB1014"/>
    <w:rsid w:val="00BB3101"/>
    <w:rsid w:val="00BB4E83"/>
    <w:rsid w:val="00BB53E8"/>
    <w:rsid w:val="00BC0CF0"/>
    <w:rsid w:val="00BC5A27"/>
    <w:rsid w:val="00BC6AFB"/>
    <w:rsid w:val="00BC7D37"/>
    <w:rsid w:val="00BD1AC6"/>
    <w:rsid w:val="00BD2F75"/>
    <w:rsid w:val="00BD4405"/>
    <w:rsid w:val="00BD6A90"/>
    <w:rsid w:val="00BE000D"/>
    <w:rsid w:val="00BE08EB"/>
    <w:rsid w:val="00BE3449"/>
    <w:rsid w:val="00BE4D04"/>
    <w:rsid w:val="00BE5EF9"/>
    <w:rsid w:val="00BE6BAD"/>
    <w:rsid w:val="00BF5D9F"/>
    <w:rsid w:val="00BF78E9"/>
    <w:rsid w:val="00C026E9"/>
    <w:rsid w:val="00C03D29"/>
    <w:rsid w:val="00C05278"/>
    <w:rsid w:val="00C05E26"/>
    <w:rsid w:val="00C074E2"/>
    <w:rsid w:val="00C07A47"/>
    <w:rsid w:val="00C07C15"/>
    <w:rsid w:val="00C11A2F"/>
    <w:rsid w:val="00C11C26"/>
    <w:rsid w:val="00C132E1"/>
    <w:rsid w:val="00C132F6"/>
    <w:rsid w:val="00C140CF"/>
    <w:rsid w:val="00C14B50"/>
    <w:rsid w:val="00C15330"/>
    <w:rsid w:val="00C16C41"/>
    <w:rsid w:val="00C267F1"/>
    <w:rsid w:val="00C26B6B"/>
    <w:rsid w:val="00C26D3E"/>
    <w:rsid w:val="00C30821"/>
    <w:rsid w:val="00C3266C"/>
    <w:rsid w:val="00C327DF"/>
    <w:rsid w:val="00C32F40"/>
    <w:rsid w:val="00C333A4"/>
    <w:rsid w:val="00C36C19"/>
    <w:rsid w:val="00C36E6D"/>
    <w:rsid w:val="00C408C3"/>
    <w:rsid w:val="00C41E86"/>
    <w:rsid w:val="00C42D11"/>
    <w:rsid w:val="00C44020"/>
    <w:rsid w:val="00C45114"/>
    <w:rsid w:val="00C465AF"/>
    <w:rsid w:val="00C4725B"/>
    <w:rsid w:val="00C514E5"/>
    <w:rsid w:val="00C52934"/>
    <w:rsid w:val="00C53446"/>
    <w:rsid w:val="00C53949"/>
    <w:rsid w:val="00C55776"/>
    <w:rsid w:val="00C56BAA"/>
    <w:rsid w:val="00C57352"/>
    <w:rsid w:val="00C57648"/>
    <w:rsid w:val="00C61053"/>
    <w:rsid w:val="00C61709"/>
    <w:rsid w:val="00C61C9B"/>
    <w:rsid w:val="00C631F8"/>
    <w:rsid w:val="00C63EAD"/>
    <w:rsid w:val="00C641DB"/>
    <w:rsid w:val="00C7147D"/>
    <w:rsid w:val="00C72262"/>
    <w:rsid w:val="00C7465F"/>
    <w:rsid w:val="00C75664"/>
    <w:rsid w:val="00C76231"/>
    <w:rsid w:val="00C76383"/>
    <w:rsid w:val="00C7756B"/>
    <w:rsid w:val="00C82400"/>
    <w:rsid w:val="00C83B33"/>
    <w:rsid w:val="00C83BC4"/>
    <w:rsid w:val="00C843B6"/>
    <w:rsid w:val="00C846FA"/>
    <w:rsid w:val="00C85D9B"/>
    <w:rsid w:val="00C86D05"/>
    <w:rsid w:val="00C91367"/>
    <w:rsid w:val="00C917E3"/>
    <w:rsid w:val="00C91A97"/>
    <w:rsid w:val="00C92F6D"/>
    <w:rsid w:val="00CA2D30"/>
    <w:rsid w:val="00CA3A25"/>
    <w:rsid w:val="00CA42A1"/>
    <w:rsid w:val="00CA7442"/>
    <w:rsid w:val="00CA7DE0"/>
    <w:rsid w:val="00CB1465"/>
    <w:rsid w:val="00CB1BB6"/>
    <w:rsid w:val="00CB56C9"/>
    <w:rsid w:val="00CB5E9B"/>
    <w:rsid w:val="00CC0C7D"/>
    <w:rsid w:val="00CC16BB"/>
    <w:rsid w:val="00CC18BB"/>
    <w:rsid w:val="00CC1C44"/>
    <w:rsid w:val="00CC44A7"/>
    <w:rsid w:val="00CC4D5A"/>
    <w:rsid w:val="00CC52F6"/>
    <w:rsid w:val="00CC5726"/>
    <w:rsid w:val="00CC5CDA"/>
    <w:rsid w:val="00CD007D"/>
    <w:rsid w:val="00CD0988"/>
    <w:rsid w:val="00CD0BA3"/>
    <w:rsid w:val="00CD523F"/>
    <w:rsid w:val="00CD5927"/>
    <w:rsid w:val="00CE00A5"/>
    <w:rsid w:val="00CE0A10"/>
    <w:rsid w:val="00CE0B0B"/>
    <w:rsid w:val="00CE0EC0"/>
    <w:rsid w:val="00CE2447"/>
    <w:rsid w:val="00CE2C31"/>
    <w:rsid w:val="00CE4F89"/>
    <w:rsid w:val="00CF18FC"/>
    <w:rsid w:val="00CF2204"/>
    <w:rsid w:val="00CF3624"/>
    <w:rsid w:val="00CF5AF8"/>
    <w:rsid w:val="00CF624F"/>
    <w:rsid w:val="00D00478"/>
    <w:rsid w:val="00D01BE3"/>
    <w:rsid w:val="00D03250"/>
    <w:rsid w:val="00D0433B"/>
    <w:rsid w:val="00D06450"/>
    <w:rsid w:val="00D0712E"/>
    <w:rsid w:val="00D10C7D"/>
    <w:rsid w:val="00D13A10"/>
    <w:rsid w:val="00D15314"/>
    <w:rsid w:val="00D15D9D"/>
    <w:rsid w:val="00D15FEB"/>
    <w:rsid w:val="00D171B5"/>
    <w:rsid w:val="00D20ED8"/>
    <w:rsid w:val="00D21B12"/>
    <w:rsid w:val="00D22AB8"/>
    <w:rsid w:val="00D2586E"/>
    <w:rsid w:val="00D30AD1"/>
    <w:rsid w:val="00D322EB"/>
    <w:rsid w:val="00D32F6B"/>
    <w:rsid w:val="00D40721"/>
    <w:rsid w:val="00D43600"/>
    <w:rsid w:val="00D460B3"/>
    <w:rsid w:val="00D463CD"/>
    <w:rsid w:val="00D46D69"/>
    <w:rsid w:val="00D46DB3"/>
    <w:rsid w:val="00D47A2A"/>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841"/>
    <w:rsid w:val="00D61A7A"/>
    <w:rsid w:val="00D62456"/>
    <w:rsid w:val="00D6402A"/>
    <w:rsid w:val="00D64E2A"/>
    <w:rsid w:val="00D64F2F"/>
    <w:rsid w:val="00D67AFF"/>
    <w:rsid w:val="00D70D8D"/>
    <w:rsid w:val="00D71438"/>
    <w:rsid w:val="00D723A3"/>
    <w:rsid w:val="00D74113"/>
    <w:rsid w:val="00D74227"/>
    <w:rsid w:val="00D752BF"/>
    <w:rsid w:val="00D75561"/>
    <w:rsid w:val="00D80211"/>
    <w:rsid w:val="00D80D69"/>
    <w:rsid w:val="00D81151"/>
    <w:rsid w:val="00D83E45"/>
    <w:rsid w:val="00D9033D"/>
    <w:rsid w:val="00D90607"/>
    <w:rsid w:val="00D911D0"/>
    <w:rsid w:val="00D9131A"/>
    <w:rsid w:val="00D91AD5"/>
    <w:rsid w:val="00D9459A"/>
    <w:rsid w:val="00D97F90"/>
    <w:rsid w:val="00DA02AA"/>
    <w:rsid w:val="00DA03BD"/>
    <w:rsid w:val="00DA124B"/>
    <w:rsid w:val="00DA1C3E"/>
    <w:rsid w:val="00DA2A70"/>
    <w:rsid w:val="00DB06B9"/>
    <w:rsid w:val="00DB0840"/>
    <w:rsid w:val="00DB0EB3"/>
    <w:rsid w:val="00DB16CB"/>
    <w:rsid w:val="00DB1E0C"/>
    <w:rsid w:val="00DB3E46"/>
    <w:rsid w:val="00DB3F38"/>
    <w:rsid w:val="00DB4EF2"/>
    <w:rsid w:val="00DB5917"/>
    <w:rsid w:val="00DC21C9"/>
    <w:rsid w:val="00DC24B6"/>
    <w:rsid w:val="00DC4985"/>
    <w:rsid w:val="00DC50D4"/>
    <w:rsid w:val="00DC7C64"/>
    <w:rsid w:val="00DD03A0"/>
    <w:rsid w:val="00DD08B2"/>
    <w:rsid w:val="00DD330D"/>
    <w:rsid w:val="00DD3F44"/>
    <w:rsid w:val="00DD6408"/>
    <w:rsid w:val="00DE1528"/>
    <w:rsid w:val="00DE3B5E"/>
    <w:rsid w:val="00DE3E3A"/>
    <w:rsid w:val="00DE59A5"/>
    <w:rsid w:val="00DF0285"/>
    <w:rsid w:val="00DF02B4"/>
    <w:rsid w:val="00DF0F4A"/>
    <w:rsid w:val="00DF21D0"/>
    <w:rsid w:val="00DF3567"/>
    <w:rsid w:val="00DF37F2"/>
    <w:rsid w:val="00DF5449"/>
    <w:rsid w:val="00E00C25"/>
    <w:rsid w:val="00E018DD"/>
    <w:rsid w:val="00E02D95"/>
    <w:rsid w:val="00E04C0A"/>
    <w:rsid w:val="00E054BB"/>
    <w:rsid w:val="00E057DD"/>
    <w:rsid w:val="00E06BCD"/>
    <w:rsid w:val="00E06D28"/>
    <w:rsid w:val="00E101E3"/>
    <w:rsid w:val="00E1043F"/>
    <w:rsid w:val="00E13771"/>
    <w:rsid w:val="00E14478"/>
    <w:rsid w:val="00E14F25"/>
    <w:rsid w:val="00E162E1"/>
    <w:rsid w:val="00E17224"/>
    <w:rsid w:val="00E21416"/>
    <w:rsid w:val="00E226A8"/>
    <w:rsid w:val="00E22AF7"/>
    <w:rsid w:val="00E2342B"/>
    <w:rsid w:val="00E249DD"/>
    <w:rsid w:val="00E25C22"/>
    <w:rsid w:val="00E32526"/>
    <w:rsid w:val="00E4017A"/>
    <w:rsid w:val="00E40977"/>
    <w:rsid w:val="00E418C2"/>
    <w:rsid w:val="00E43C54"/>
    <w:rsid w:val="00E43D51"/>
    <w:rsid w:val="00E44DF4"/>
    <w:rsid w:val="00E4503E"/>
    <w:rsid w:val="00E46913"/>
    <w:rsid w:val="00E51235"/>
    <w:rsid w:val="00E5439E"/>
    <w:rsid w:val="00E55267"/>
    <w:rsid w:val="00E55683"/>
    <w:rsid w:val="00E562A7"/>
    <w:rsid w:val="00E62010"/>
    <w:rsid w:val="00E62DE9"/>
    <w:rsid w:val="00E661E5"/>
    <w:rsid w:val="00E7021D"/>
    <w:rsid w:val="00E70E23"/>
    <w:rsid w:val="00E73AFC"/>
    <w:rsid w:val="00E81BAB"/>
    <w:rsid w:val="00E82661"/>
    <w:rsid w:val="00E840FE"/>
    <w:rsid w:val="00E8697A"/>
    <w:rsid w:val="00E918E4"/>
    <w:rsid w:val="00E958E3"/>
    <w:rsid w:val="00EA08F0"/>
    <w:rsid w:val="00EA1520"/>
    <w:rsid w:val="00EA3769"/>
    <w:rsid w:val="00EA43AF"/>
    <w:rsid w:val="00EA4F01"/>
    <w:rsid w:val="00EA6C2C"/>
    <w:rsid w:val="00EA7BFB"/>
    <w:rsid w:val="00EB24D4"/>
    <w:rsid w:val="00EB2B0E"/>
    <w:rsid w:val="00EB3012"/>
    <w:rsid w:val="00EB31CF"/>
    <w:rsid w:val="00EB3FC3"/>
    <w:rsid w:val="00EB5201"/>
    <w:rsid w:val="00EB5CE1"/>
    <w:rsid w:val="00EB7C6A"/>
    <w:rsid w:val="00EC0CF1"/>
    <w:rsid w:val="00EC16CD"/>
    <w:rsid w:val="00EC1A48"/>
    <w:rsid w:val="00EC1D55"/>
    <w:rsid w:val="00EC56BC"/>
    <w:rsid w:val="00EC59A6"/>
    <w:rsid w:val="00EC6033"/>
    <w:rsid w:val="00ED1401"/>
    <w:rsid w:val="00ED3B36"/>
    <w:rsid w:val="00EE00AA"/>
    <w:rsid w:val="00EE02CB"/>
    <w:rsid w:val="00EE0373"/>
    <w:rsid w:val="00EE2502"/>
    <w:rsid w:val="00EE2883"/>
    <w:rsid w:val="00EE2CAA"/>
    <w:rsid w:val="00EE5FD8"/>
    <w:rsid w:val="00EE75C5"/>
    <w:rsid w:val="00EE782D"/>
    <w:rsid w:val="00EF0509"/>
    <w:rsid w:val="00EF1474"/>
    <w:rsid w:val="00EF207D"/>
    <w:rsid w:val="00EF358B"/>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A38"/>
    <w:rsid w:val="00F25B68"/>
    <w:rsid w:val="00F2695D"/>
    <w:rsid w:val="00F31FC5"/>
    <w:rsid w:val="00F3297D"/>
    <w:rsid w:val="00F35E1F"/>
    <w:rsid w:val="00F362E9"/>
    <w:rsid w:val="00F400E7"/>
    <w:rsid w:val="00F41A6D"/>
    <w:rsid w:val="00F41F46"/>
    <w:rsid w:val="00F42BE4"/>
    <w:rsid w:val="00F430A9"/>
    <w:rsid w:val="00F432E6"/>
    <w:rsid w:val="00F436B0"/>
    <w:rsid w:val="00F465BC"/>
    <w:rsid w:val="00F47C96"/>
    <w:rsid w:val="00F54F5F"/>
    <w:rsid w:val="00F55223"/>
    <w:rsid w:val="00F56A85"/>
    <w:rsid w:val="00F60002"/>
    <w:rsid w:val="00F604D7"/>
    <w:rsid w:val="00F64B14"/>
    <w:rsid w:val="00F67578"/>
    <w:rsid w:val="00F67C52"/>
    <w:rsid w:val="00F7043F"/>
    <w:rsid w:val="00F7568C"/>
    <w:rsid w:val="00F75BEC"/>
    <w:rsid w:val="00F7625D"/>
    <w:rsid w:val="00F76897"/>
    <w:rsid w:val="00F77B7C"/>
    <w:rsid w:val="00F82492"/>
    <w:rsid w:val="00F82B40"/>
    <w:rsid w:val="00F83EA2"/>
    <w:rsid w:val="00F87799"/>
    <w:rsid w:val="00F87A96"/>
    <w:rsid w:val="00F93FE4"/>
    <w:rsid w:val="00F94F7B"/>
    <w:rsid w:val="00F96A1C"/>
    <w:rsid w:val="00FA19C1"/>
    <w:rsid w:val="00FA2423"/>
    <w:rsid w:val="00FA5956"/>
    <w:rsid w:val="00FA65C3"/>
    <w:rsid w:val="00FA7B50"/>
    <w:rsid w:val="00FB0C32"/>
    <w:rsid w:val="00FB0C3D"/>
    <w:rsid w:val="00FB160E"/>
    <w:rsid w:val="00FB1D79"/>
    <w:rsid w:val="00FB231C"/>
    <w:rsid w:val="00FB249F"/>
    <w:rsid w:val="00FB2894"/>
    <w:rsid w:val="00FB2A3D"/>
    <w:rsid w:val="00FB3328"/>
    <w:rsid w:val="00FB3BB9"/>
    <w:rsid w:val="00FB4A7F"/>
    <w:rsid w:val="00FB56EA"/>
    <w:rsid w:val="00FB6127"/>
    <w:rsid w:val="00FB6ABE"/>
    <w:rsid w:val="00FB7655"/>
    <w:rsid w:val="00FB77CE"/>
    <w:rsid w:val="00FB7925"/>
    <w:rsid w:val="00FC3C2B"/>
    <w:rsid w:val="00FC5B0F"/>
    <w:rsid w:val="00FD0D62"/>
    <w:rsid w:val="00FD12FA"/>
    <w:rsid w:val="00FD17D1"/>
    <w:rsid w:val="00FD1E0E"/>
    <w:rsid w:val="00FD2220"/>
    <w:rsid w:val="00FD22FD"/>
    <w:rsid w:val="00FD2971"/>
    <w:rsid w:val="00FD69AE"/>
    <w:rsid w:val="00FD6CE9"/>
    <w:rsid w:val="00FE0D5A"/>
    <w:rsid w:val="00FE2AA3"/>
    <w:rsid w:val="00FE3E50"/>
    <w:rsid w:val="00FE461F"/>
    <w:rsid w:val="00FE5F93"/>
    <w:rsid w:val="00FE6F09"/>
    <w:rsid w:val="00FE7597"/>
    <w:rsid w:val="00FE7A8B"/>
    <w:rsid w:val="00FF08F2"/>
    <w:rsid w:val="00FF2B6D"/>
    <w:rsid w:val="00FF37CE"/>
    <w:rsid w:val="01690692"/>
    <w:rsid w:val="01945154"/>
    <w:rsid w:val="019839AC"/>
    <w:rsid w:val="01ED668D"/>
    <w:rsid w:val="023F1688"/>
    <w:rsid w:val="02947E8F"/>
    <w:rsid w:val="029923AC"/>
    <w:rsid w:val="02E126BF"/>
    <w:rsid w:val="02F77057"/>
    <w:rsid w:val="031676A0"/>
    <w:rsid w:val="03427EA4"/>
    <w:rsid w:val="03AA5843"/>
    <w:rsid w:val="046746BF"/>
    <w:rsid w:val="05C66D6B"/>
    <w:rsid w:val="05E94E1C"/>
    <w:rsid w:val="05F77758"/>
    <w:rsid w:val="066A2EA0"/>
    <w:rsid w:val="06D923F9"/>
    <w:rsid w:val="07292AB6"/>
    <w:rsid w:val="076736D0"/>
    <w:rsid w:val="07D17BDC"/>
    <w:rsid w:val="08561549"/>
    <w:rsid w:val="08A86FE7"/>
    <w:rsid w:val="091927F9"/>
    <w:rsid w:val="09397EEF"/>
    <w:rsid w:val="09423B4A"/>
    <w:rsid w:val="099A78CF"/>
    <w:rsid w:val="09A24838"/>
    <w:rsid w:val="09D942FB"/>
    <w:rsid w:val="09DA28B7"/>
    <w:rsid w:val="09E33638"/>
    <w:rsid w:val="0A2A2CFE"/>
    <w:rsid w:val="0AA37D0C"/>
    <w:rsid w:val="0AC57FE6"/>
    <w:rsid w:val="0B1D0547"/>
    <w:rsid w:val="0B9C7478"/>
    <w:rsid w:val="0C443A0C"/>
    <w:rsid w:val="0C6E3685"/>
    <w:rsid w:val="0C91037B"/>
    <w:rsid w:val="0C9B1C1B"/>
    <w:rsid w:val="0CDB6CAE"/>
    <w:rsid w:val="0CE57C10"/>
    <w:rsid w:val="0CF733EA"/>
    <w:rsid w:val="0D1358B3"/>
    <w:rsid w:val="0D1A65F5"/>
    <w:rsid w:val="0D474BD9"/>
    <w:rsid w:val="0D716AA8"/>
    <w:rsid w:val="0DD1511D"/>
    <w:rsid w:val="0DDA100E"/>
    <w:rsid w:val="0E162BCB"/>
    <w:rsid w:val="0E1D458B"/>
    <w:rsid w:val="0E3A00D1"/>
    <w:rsid w:val="0E46153A"/>
    <w:rsid w:val="0E6D514B"/>
    <w:rsid w:val="0E983E0D"/>
    <w:rsid w:val="0EC337C4"/>
    <w:rsid w:val="0ED50D51"/>
    <w:rsid w:val="0F0260AC"/>
    <w:rsid w:val="0F1D6A99"/>
    <w:rsid w:val="0F2D4EE0"/>
    <w:rsid w:val="0FF26C65"/>
    <w:rsid w:val="108B0131"/>
    <w:rsid w:val="10A87D0B"/>
    <w:rsid w:val="113827D0"/>
    <w:rsid w:val="113F4DF8"/>
    <w:rsid w:val="116F0062"/>
    <w:rsid w:val="118919EF"/>
    <w:rsid w:val="11AB0CC8"/>
    <w:rsid w:val="11E2316A"/>
    <w:rsid w:val="122D73E5"/>
    <w:rsid w:val="123D5579"/>
    <w:rsid w:val="1242163D"/>
    <w:rsid w:val="132570F0"/>
    <w:rsid w:val="133A204A"/>
    <w:rsid w:val="138C6A76"/>
    <w:rsid w:val="13931E3E"/>
    <w:rsid w:val="13E955A7"/>
    <w:rsid w:val="141B290C"/>
    <w:rsid w:val="142C0628"/>
    <w:rsid w:val="1505762F"/>
    <w:rsid w:val="1542410B"/>
    <w:rsid w:val="15454472"/>
    <w:rsid w:val="15A12CC9"/>
    <w:rsid w:val="15CE62D3"/>
    <w:rsid w:val="16120592"/>
    <w:rsid w:val="163A445E"/>
    <w:rsid w:val="16A56732"/>
    <w:rsid w:val="16B8097E"/>
    <w:rsid w:val="16D67CFF"/>
    <w:rsid w:val="16E24019"/>
    <w:rsid w:val="171013E7"/>
    <w:rsid w:val="172203D5"/>
    <w:rsid w:val="1760774B"/>
    <w:rsid w:val="178C3B8D"/>
    <w:rsid w:val="17D250B1"/>
    <w:rsid w:val="17D61600"/>
    <w:rsid w:val="17DF2C26"/>
    <w:rsid w:val="17ED57D0"/>
    <w:rsid w:val="18C35564"/>
    <w:rsid w:val="18C471AB"/>
    <w:rsid w:val="18DA75F8"/>
    <w:rsid w:val="19100BBF"/>
    <w:rsid w:val="194271B4"/>
    <w:rsid w:val="196838F6"/>
    <w:rsid w:val="197B2517"/>
    <w:rsid w:val="19D53308"/>
    <w:rsid w:val="1A6D4179"/>
    <w:rsid w:val="1A8E0379"/>
    <w:rsid w:val="1AA33D75"/>
    <w:rsid w:val="1B015D23"/>
    <w:rsid w:val="1B084769"/>
    <w:rsid w:val="1B2C3CFF"/>
    <w:rsid w:val="1B716135"/>
    <w:rsid w:val="1BAB6914"/>
    <w:rsid w:val="1BEB57C6"/>
    <w:rsid w:val="1CB456F9"/>
    <w:rsid w:val="1CDC33EA"/>
    <w:rsid w:val="1D1E6052"/>
    <w:rsid w:val="1D2043B5"/>
    <w:rsid w:val="1DAC007C"/>
    <w:rsid w:val="1DF27FB8"/>
    <w:rsid w:val="1DF50076"/>
    <w:rsid w:val="1E216B7F"/>
    <w:rsid w:val="1E525DA0"/>
    <w:rsid w:val="1E633A5E"/>
    <w:rsid w:val="1E804FDE"/>
    <w:rsid w:val="1F741DA9"/>
    <w:rsid w:val="1F961E9B"/>
    <w:rsid w:val="1FA54550"/>
    <w:rsid w:val="1FBD34A2"/>
    <w:rsid w:val="1FD32E8E"/>
    <w:rsid w:val="20323461"/>
    <w:rsid w:val="209100DD"/>
    <w:rsid w:val="209A07D1"/>
    <w:rsid w:val="2104292C"/>
    <w:rsid w:val="210B52BB"/>
    <w:rsid w:val="218C3638"/>
    <w:rsid w:val="21FE3743"/>
    <w:rsid w:val="225C5DBF"/>
    <w:rsid w:val="22E55C93"/>
    <w:rsid w:val="230448FD"/>
    <w:rsid w:val="230873D2"/>
    <w:rsid w:val="23775B38"/>
    <w:rsid w:val="23783A45"/>
    <w:rsid w:val="239F26B9"/>
    <w:rsid w:val="23D22A8F"/>
    <w:rsid w:val="23F9151A"/>
    <w:rsid w:val="245F02B9"/>
    <w:rsid w:val="246A0820"/>
    <w:rsid w:val="24734413"/>
    <w:rsid w:val="250004BC"/>
    <w:rsid w:val="250A2BFE"/>
    <w:rsid w:val="250B0006"/>
    <w:rsid w:val="25547647"/>
    <w:rsid w:val="2568130E"/>
    <w:rsid w:val="2597581F"/>
    <w:rsid w:val="25F475E9"/>
    <w:rsid w:val="262D4A31"/>
    <w:rsid w:val="262F5563"/>
    <w:rsid w:val="26664317"/>
    <w:rsid w:val="267B6356"/>
    <w:rsid w:val="268A1547"/>
    <w:rsid w:val="269579B2"/>
    <w:rsid w:val="26D11062"/>
    <w:rsid w:val="27035287"/>
    <w:rsid w:val="27C968B0"/>
    <w:rsid w:val="27EF6ED2"/>
    <w:rsid w:val="27F04C86"/>
    <w:rsid w:val="28021440"/>
    <w:rsid w:val="287A1460"/>
    <w:rsid w:val="288749A3"/>
    <w:rsid w:val="28D810D0"/>
    <w:rsid w:val="28EE44DB"/>
    <w:rsid w:val="29081970"/>
    <w:rsid w:val="29D02628"/>
    <w:rsid w:val="2A0F7B8F"/>
    <w:rsid w:val="2AB66396"/>
    <w:rsid w:val="2B0C0C2F"/>
    <w:rsid w:val="2B4C3A3D"/>
    <w:rsid w:val="2B9B36F7"/>
    <w:rsid w:val="2BF57498"/>
    <w:rsid w:val="2C455090"/>
    <w:rsid w:val="2C59053B"/>
    <w:rsid w:val="2C705F05"/>
    <w:rsid w:val="2C8A7F77"/>
    <w:rsid w:val="2C934B79"/>
    <w:rsid w:val="2CF613CF"/>
    <w:rsid w:val="2CFD50F6"/>
    <w:rsid w:val="2D3E4BDC"/>
    <w:rsid w:val="2D420991"/>
    <w:rsid w:val="2D737089"/>
    <w:rsid w:val="2D9F4CE2"/>
    <w:rsid w:val="2DF976E6"/>
    <w:rsid w:val="2E186F7F"/>
    <w:rsid w:val="2E67652F"/>
    <w:rsid w:val="2E6D0878"/>
    <w:rsid w:val="2EB92AB6"/>
    <w:rsid w:val="2F015FDC"/>
    <w:rsid w:val="2F250FA6"/>
    <w:rsid w:val="2F3317B3"/>
    <w:rsid w:val="2F3915E8"/>
    <w:rsid w:val="2F3C05A5"/>
    <w:rsid w:val="2F67256D"/>
    <w:rsid w:val="2F6733E1"/>
    <w:rsid w:val="2F785FE9"/>
    <w:rsid w:val="2F7C05F5"/>
    <w:rsid w:val="2F7F1ED7"/>
    <w:rsid w:val="30510342"/>
    <w:rsid w:val="306A1DC8"/>
    <w:rsid w:val="307D1282"/>
    <w:rsid w:val="30AF4464"/>
    <w:rsid w:val="30E20D41"/>
    <w:rsid w:val="310413DA"/>
    <w:rsid w:val="310B6CB2"/>
    <w:rsid w:val="31306DB5"/>
    <w:rsid w:val="314A0219"/>
    <w:rsid w:val="31526875"/>
    <w:rsid w:val="315D60AB"/>
    <w:rsid w:val="317F224F"/>
    <w:rsid w:val="31986C64"/>
    <w:rsid w:val="31D64F52"/>
    <w:rsid w:val="3292722B"/>
    <w:rsid w:val="32CB6021"/>
    <w:rsid w:val="32F03F08"/>
    <w:rsid w:val="32FC216F"/>
    <w:rsid w:val="33204D66"/>
    <w:rsid w:val="33293539"/>
    <w:rsid w:val="334F1247"/>
    <w:rsid w:val="33591523"/>
    <w:rsid w:val="33B125D5"/>
    <w:rsid w:val="34153282"/>
    <w:rsid w:val="3448342B"/>
    <w:rsid w:val="345C71D0"/>
    <w:rsid w:val="345E5D93"/>
    <w:rsid w:val="34645EFC"/>
    <w:rsid w:val="352C1E5F"/>
    <w:rsid w:val="353A3896"/>
    <w:rsid w:val="35401858"/>
    <w:rsid w:val="35406945"/>
    <w:rsid w:val="35BC1FB1"/>
    <w:rsid w:val="36CD4130"/>
    <w:rsid w:val="37163CF8"/>
    <w:rsid w:val="3725104F"/>
    <w:rsid w:val="37AF4CE7"/>
    <w:rsid w:val="37C5701D"/>
    <w:rsid w:val="37D23FA3"/>
    <w:rsid w:val="37FB1B8B"/>
    <w:rsid w:val="38174E2D"/>
    <w:rsid w:val="38AE5690"/>
    <w:rsid w:val="397F79B5"/>
    <w:rsid w:val="3A0D5D8C"/>
    <w:rsid w:val="3A2D057F"/>
    <w:rsid w:val="3A975AC0"/>
    <w:rsid w:val="3B4C3A1D"/>
    <w:rsid w:val="3B8A188D"/>
    <w:rsid w:val="3BC24594"/>
    <w:rsid w:val="3CB17365"/>
    <w:rsid w:val="3D046AB9"/>
    <w:rsid w:val="3D651E26"/>
    <w:rsid w:val="3D7E37BC"/>
    <w:rsid w:val="3DBF1E06"/>
    <w:rsid w:val="3DD161C3"/>
    <w:rsid w:val="3DF05512"/>
    <w:rsid w:val="3E2F49DA"/>
    <w:rsid w:val="3E33621B"/>
    <w:rsid w:val="3E355E9B"/>
    <w:rsid w:val="3E6400FF"/>
    <w:rsid w:val="3E647A6E"/>
    <w:rsid w:val="3E722BA4"/>
    <w:rsid w:val="3E811AFF"/>
    <w:rsid w:val="3E863485"/>
    <w:rsid w:val="3EED4C7E"/>
    <w:rsid w:val="3F686F2F"/>
    <w:rsid w:val="3FBE5FFD"/>
    <w:rsid w:val="3FEC145F"/>
    <w:rsid w:val="400D5E1D"/>
    <w:rsid w:val="40645469"/>
    <w:rsid w:val="41136002"/>
    <w:rsid w:val="41346891"/>
    <w:rsid w:val="41827350"/>
    <w:rsid w:val="41A2765A"/>
    <w:rsid w:val="42325426"/>
    <w:rsid w:val="423A1850"/>
    <w:rsid w:val="423D52C1"/>
    <w:rsid w:val="425B1520"/>
    <w:rsid w:val="427427A5"/>
    <w:rsid w:val="42B879CA"/>
    <w:rsid w:val="42EE0F2B"/>
    <w:rsid w:val="43534715"/>
    <w:rsid w:val="43711631"/>
    <w:rsid w:val="438B3486"/>
    <w:rsid w:val="43B40A8F"/>
    <w:rsid w:val="43B55A83"/>
    <w:rsid w:val="43C6583D"/>
    <w:rsid w:val="44054204"/>
    <w:rsid w:val="44162144"/>
    <w:rsid w:val="44667854"/>
    <w:rsid w:val="446F3407"/>
    <w:rsid w:val="44D44766"/>
    <w:rsid w:val="44E45A65"/>
    <w:rsid w:val="452B75FE"/>
    <w:rsid w:val="452E51AA"/>
    <w:rsid w:val="455A633B"/>
    <w:rsid w:val="460A3878"/>
    <w:rsid w:val="461C0398"/>
    <w:rsid w:val="463D2975"/>
    <w:rsid w:val="4709732F"/>
    <w:rsid w:val="471F0313"/>
    <w:rsid w:val="47380A53"/>
    <w:rsid w:val="476479F5"/>
    <w:rsid w:val="47716227"/>
    <w:rsid w:val="47837540"/>
    <w:rsid w:val="47E15F70"/>
    <w:rsid w:val="484F1E7E"/>
    <w:rsid w:val="48862907"/>
    <w:rsid w:val="48A64A1C"/>
    <w:rsid w:val="48B9462E"/>
    <w:rsid w:val="48C61C33"/>
    <w:rsid w:val="491A0ABF"/>
    <w:rsid w:val="493948E7"/>
    <w:rsid w:val="4970740A"/>
    <w:rsid w:val="49900872"/>
    <w:rsid w:val="49A17634"/>
    <w:rsid w:val="49A97395"/>
    <w:rsid w:val="49BB4F03"/>
    <w:rsid w:val="49DD7FC8"/>
    <w:rsid w:val="49E951B3"/>
    <w:rsid w:val="4AB85C05"/>
    <w:rsid w:val="4B427F8A"/>
    <w:rsid w:val="4B523D1F"/>
    <w:rsid w:val="4BC958EB"/>
    <w:rsid w:val="4BD431FF"/>
    <w:rsid w:val="4BDD5A22"/>
    <w:rsid w:val="4C023275"/>
    <w:rsid w:val="4C07073B"/>
    <w:rsid w:val="4C360535"/>
    <w:rsid w:val="4CCF6645"/>
    <w:rsid w:val="4D011BEB"/>
    <w:rsid w:val="4D077EEE"/>
    <w:rsid w:val="4D1549DE"/>
    <w:rsid w:val="4D2C6C56"/>
    <w:rsid w:val="4E3B03B3"/>
    <w:rsid w:val="4E901520"/>
    <w:rsid w:val="4E99682F"/>
    <w:rsid w:val="4EA77D5D"/>
    <w:rsid w:val="4EEA6922"/>
    <w:rsid w:val="4F23558E"/>
    <w:rsid w:val="4FAE354D"/>
    <w:rsid w:val="4FBA02ED"/>
    <w:rsid w:val="505E7A8B"/>
    <w:rsid w:val="50774392"/>
    <w:rsid w:val="51037C3F"/>
    <w:rsid w:val="510A1AA7"/>
    <w:rsid w:val="51242F69"/>
    <w:rsid w:val="512D1056"/>
    <w:rsid w:val="51AB3255"/>
    <w:rsid w:val="51CB5A51"/>
    <w:rsid w:val="51F65B08"/>
    <w:rsid w:val="529D0F4A"/>
    <w:rsid w:val="52A96B7B"/>
    <w:rsid w:val="52AF2CA1"/>
    <w:rsid w:val="52D363EF"/>
    <w:rsid w:val="530E0BE9"/>
    <w:rsid w:val="533731A0"/>
    <w:rsid w:val="539A61B8"/>
    <w:rsid w:val="546D1B24"/>
    <w:rsid w:val="54AB790D"/>
    <w:rsid w:val="54B772D8"/>
    <w:rsid w:val="54D037F3"/>
    <w:rsid w:val="54F20968"/>
    <w:rsid w:val="55174218"/>
    <w:rsid w:val="55753354"/>
    <w:rsid w:val="5578671C"/>
    <w:rsid w:val="55D46E01"/>
    <w:rsid w:val="56073DCC"/>
    <w:rsid w:val="56896DF8"/>
    <w:rsid w:val="56EA5279"/>
    <w:rsid w:val="56F168F8"/>
    <w:rsid w:val="577A0392"/>
    <w:rsid w:val="578238A9"/>
    <w:rsid w:val="58010A44"/>
    <w:rsid w:val="58C12475"/>
    <w:rsid w:val="58CA6DBA"/>
    <w:rsid w:val="58E26470"/>
    <w:rsid w:val="58FB7CE5"/>
    <w:rsid w:val="590C4A5E"/>
    <w:rsid w:val="5961433B"/>
    <w:rsid w:val="596E1AC6"/>
    <w:rsid w:val="598A40D8"/>
    <w:rsid w:val="5A3822C4"/>
    <w:rsid w:val="5A4C04E2"/>
    <w:rsid w:val="5A5D53A0"/>
    <w:rsid w:val="5A866D10"/>
    <w:rsid w:val="5AB746A4"/>
    <w:rsid w:val="5ACD483B"/>
    <w:rsid w:val="5B11120F"/>
    <w:rsid w:val="5B153A5A"/>
    <w:rsid w:val="5B1E534D"/>
    <w:rsid w:val="5B5C17F6"/>
    <w:rsid w:val="5B86329C"/>
    <w:rsid w:val="5BDC37A3"/>
    <w:rsid w:val="5C667E54"/>
    <w:rsid w:val="5C751DBE"/>
    <w:rsid w:val="5CCF011E"/>
    <w:rsid w:val="5CDB64B3"/>
    <w:rsid w:val="5DB91914"/>
    <w:rsid w:val="5DC57B14"/>
    <w:rsid w:val="5DCE7611"/>
    <w:rsid w:val="5DDE210D"/>
    <w:rsid w:val="5DEE6E0C"/>
    <w:rsid w:val="5E265C72"/>
    <w:rsid w:val="5E4D3BC3"/>
    <w:rsid w:val="5E503FB5"/>
    <w:rsid w:val="5E72421F"/>
    <w:rsid w:val="5E8521E7"/>
    <w:rsid w:val="5EAC3895"/>
    <w:rsid w:val="5F124BFF"/>
    <w:rsid w:val="5F2A082E"/>
    <w:rsid w:val="5F672A89"/>
    <w:rsid w:val="5FF32E14"/>
    <w:rsid w:val="60351BE4"/>
    <w:rsid w:val="607B63D6"/>
    <w:rsid w:val="61674C92"/>
    <w:rsid w:val="61853A9D"/>
    <w:rsid w:val="61F42104"/>
    <w:rsid w:val="62093DB7"/>
    <w:rsid w:val="62BC65DA"/>
    <w:rsid w:val="62E01B0C"/>
    <w:rsid w:val="635C1D12"/>
    <w:rsid w:val="63611354"/>
    <w:rsid w:val="63D3206A"/>
    <w:rsid w:val="63F76ED4"/>
    <w:rsid w:val="64BC46A5"/>
    <w:rsid w:val="64F3303A"/>
    <w:rsid w:val="65165EA8"/>
    <w:rsid w:val="65D70485"/>
    <w:rsid w:val="664941C0"/>
    <w:rsid w:val="66974CA5"/>
    <w:rsid w:val="66CF2BBD"/>
    <w:rsid w:val="670D0A95"/>
    <w:rsid w:val="673C3EEB"/>
    <w:rsid w:val="675E37FC"/>
    <w:rsid w:val="67EE17A5"/>
    <w:rsid w:val="684F1D8E"/>
    <w:rsid w:val="68542A6C"/>
    <w:rsid w:val="68D428AC"/>
    <w:rsid w:val="68FD7718"/>
    <w:rsid w:val="698A2CB7"/>
    <w:rsid w:val="69B9243F"/>
    <w:rsid w:val="69DE2A1C"/>
    <w:rsid w:val="6A0B12A0"/>
    <w:rsid w:val="6A6A43CE"/>
    <w:rsid w:val="6A80441B"/>
    <w:rsid w:val="6A81665A"/>
    <w:rsid w:val="6A8A5E15"/>
    <w:rsid w:val="6AAE349E"/>
    <w:rsid w:val="6ABF198C"/>
    <w:rsid w:val="6C0B4217"/>
    <w:rsid w:val="6C17118C"/>
    <w:rsid w:val="6CED0B05"/>
    <w:rsid w:val="6D7643C2"/>
    <w:rsid w:val="6D953B9F"/>
    <w:rsid w:val="6DE23AF2"/>
    <w:rsid w:val="6E1C1EE5"/>
    <w:rsid w:val="6E575C8E"/>
    <w:rsid w:val="6E6A4A98"/>
    <w:rsid w:val="6ED94727"/>
    <w:rsid w:val="6EF83965"/>
    <w:rsid w:val="6F064C33"/>
    <w:rsid w:val="6F6E4104"/>
    <w:rsid w:val="6F806469"/>
    <w:rsid w:val="6FF31F54"/>
    <w:rsid w:val="700C7562"/>
    <w:rsid w:val="704E7A25"/>
    <w:rsid w:val="7063216F"/>
    <w:rsid w:val="70647DE8"/>
    <w:rsid w:val="70AB0D59"/>
    <w:rsid w:val="70EC465E"/>
    <w:rsid w:val="712B17BB"/>
    <w:rsid w:val="712B6380"/>
    <w:rsid w:val="714540BD"/>
    <w:rsid w:val="714D1278"/>
    <w:rsid w:val="717B7B17"/>
    <w:rsid w:val="717C364E"/>
    <w:rsid w:val="72712DA3"/>
    <w:rsid w:val="73136235"/>
    <w:rsid w:val="736D63FD"/>
    <w:rsid w:val="73E26C2E"/>
    <w:rsid w:val="7409334B"/>
    <w:rsid w:val="74136BFD"/>
    <w:rsid w:val="74487A32"/>
    <w:rsid w:val="766259C8"/>
    <w:rsid w:val="76AA774E"/>
    <w:rsid w:val="77114867"/>
    <w:rsid w:val="77200AA7"/>
    <w:rsid w:val="773D47CF"/>
    <w:rsid w:val="775C1413"/>
    <w:rsid w:val="777E1DA7"/>
    <w:rsid w:val="78406976"/>
    <w:rsid w:val="794D5448"/>
    <w:rsid w:val="7A484ABE"/>
    <w:rsid w:val="7A4F02F8"/>
    <w:rsid w:val="7A920C25"/>
    <w:rsid w:val="7AD45EAA"/>
    <w:rsid w:val="7ADB460D"/>
    <w:rsid w:val="7B0D1546"/>
    <w:rsid w:val="7B61728D"/>
    <w:rsid w:val="7B7350D8"/>
    <w:rsid w:val="7B9D23DC"/>
    <w:rsid w:val="7BA50EB4"/>
    <w:rsid w:val="7BA64FA9"/>
    <w:rsid w:val="7BB14741"/>
    <w:rsid w:val="7BE0414B"/>
    <w:rsid w:val="7BEB3799"/>
    <w:rsid w:val="7BEE130F"/>
    <w:rsid w:val="7C3E2BC4"/>
    <w:rsid w:val="7C412EEA"/>
    <w:rsid w:val="7C825E13"/>
    <w:rsid w:val="7C8D6E5F"/>
    <w:rsid w:val="7CA62D01"/>
    <w:rsid w:val="7CA6799B"/>
    <w:rsid w:val="7CB55428"/>
    <w:rsid w:val="7CFC4983"/>
    <w:rsid w:val="7D3C4A55"/>
    <w:rsid w:val="7D43587C"/>
    <w:rsid w:val="7E047800"/>
    <w:rsid w:val="7E4055E3"/>
    <w:rsid w:val="7E4435B5"/>
    <w:rsid w:val="7E5E653B"/>
    <w:rsid w:val="7E65220F"/>
    <w:rsid w:val="7E8C5807"/>
    <w:rsid w:val="7EA90D00"/>
    <w:rsid w:val="7EC94256"/>
    <w:rsid w:val="7EDC6AC5"/>
    <w:rsid w:val="7F307D3A"/>
    <w:rsid w:val="7F372284"/>
    <w:rsid w:val="7F6F0306"/>
    <w:rsid w:val="7F874EC5"/>
    <w:rsid w:val="7FD360AE"/>
    <w:rsid w:val="7FD91E07"/>
    <w:rsid w:val="7FE810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table of figures"/>
    <w:basedOn w:val="1"/>
    <w:next w:val="1"/>
    <w:qFormat/>
    <w:uiPriority w:val="0"/>
    <w:pPr>
      <w:widowControl w:val="0"/>
      <w:spacing w:line="360" w:lineRule="auto"/>
      <w:ind w:left="200" w:leftChars="200" w:hanging="200" w:hangingChars="200"/>
      <w:jc w:val="both"/>
    </w:pPr>
    <w:rPr>
      <w:rFonts w:ascii="仿宋_GB2312" w:hAnsi="仿宋_GB2312" w:eastAsia="仿宋_GB2312" w:cs="Times New Roman"/>
      <w:snapToGrid w:val="0"/>
      <w:kern w:val="2"/>
      <w:sz w:val="36"/>
      <w:szCs w:val="22"/>
      <w:lang w:val="en-US" w:eastAsia="zh-CN" w:bidi="ar-SA"/>
    </w:rPr>
  </w:style>
  <w:style w:type="paragraph" w:styleId="3">
    <w:name w:val="annotation text"/>
    <w:basedOn w:val="1"/>
    <w:link w:val="19"/>
    <w:qFormat/>
    <w:uiPriority w:val="0"/>
    <w:pPr>
      <w:jc w:val="left"/>
    </w:pPr>
  </w:style>
  <w:style w:type="paragraph" w:styleId="4">
    <w:name w:val="Body Text Indent"/>
    <w:basedOn w:val="1"/>
    <w:qFormat/>
    <w:uiPriority w:val="0"/>
    <w:pPr>
      <w:ind w:firstLine="576"/>
    </w:pPr>
    <w:rPr>
      <w:rFonts w:ascii="仿宋_GB2312" w:eastAsia="仿宋_GB2312"/>
      <w:sz w:val="28"/>
      <w:szCs w:val="24"/>
    </w:rPr>
  </w:style>
  <w:style w:type="paragraph" w:styleId="5">
    <w:name w:val="Plain Text"/>
    <w:basedOn w:val="1"/>
    <w:link w:val="20"/>
    <w:qFormat/>
    <w:uiPriority w:val="99"/>
    <w:rPr>
      <w:rFonts w:ascii="宋体" w:hAnsi="Courier New"/>
    </w:rPr>
  </w:style>
  <w:style w:type="paragraph" w:styleId="6">
    <w:name w:val="Date"/>
    <w:basedOn w:val="1"/>
    <w:next w:val="1"/>
    <w:qFormat/>
    <w:uiPriority w:val="0"/>
    <w:pPr>
      <w:adjustRightInd w:val="0"/>
      <w:spacing w:line="312" w:lineRule="atLeast"/>
      <w:jc w:val="right"/>
      <w:textAlignment w:val="baseline"/>
    </w:pPr>
    <w:rPr>
      <w:kern w:val="0"/>
    </w:rPr>
  </w:style>
  <w:style w:type="paragraph" w:styleId="7">
    <w:name w:val="Balloon Text"/>
    <w:basedOn w:val="1"/>
    <w:semiHidden/>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23"/>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paragraph" w:customStyle="1" w:styleId="18">
    <w:name w:val="正文（标准）"/>
    <w:basedOn w:val="1"/>
    <w:next w:val="1"/>
    <w:semiHidden/>
    <w:qFormat/>
    <w:uiPriority w:val="0"/>
    <w:pPr>
      <w:ind w:firstLine="525"/>
    </w:pPr>
    <w:rPr>
      <w:rFonts w:ascii="宋体" w:hAnsi="宋体"/>
    </w:rPr>
  </w:style>
  <w:style w:type="character" w:customStyle="1" w:styleId="19">
    <w:name w:val="批注文字 Char"/>
    <w:link w:val="3"/>
    <w:qFormat/>
    <w:uiPriority w:val="0"/>
    <w:rPr>
      <w:kern w:val="2"/>
      <w:sz w:val="21"/>
    </w:rPr>
  </w:style>
  <w:style w:type="character" w:customStyle="1" w:styleId="20">
    <w:name w:val="纯文本 Char"/>
    <w:link w:val="5"/>
    <w:qFormat/>
    <w:uiPriority w:val="99"/>
    <w:rPr>
      <w:rFonts w:ascii="宋体" w:hAnsi="Courier New"/>
      <w:kern w:val="2"/>
      <w:sz w:val="21"/>
    </w:rPr>
  </w:style>
  <w:style w:type="character" w:customStyle="1" w:styleId="21">
    <w:name w:val="页脚 Char"/>
    <w:link w:val="8"/>
    <w:qFormat/>
    <w:uiPriority w:val="0"/>
    <w:rPr>
      <w:kern w:val="2"/>
      <w:sz w:val="18"/>
      <w:szCs w:val="18"/>
    </w:rPr>
  </w:style>
  <w:style w:type="character" w:customStyle="1" w:styleId="22">
    <w:name w:val="页眉 Char"/>
    <w:link w:val="9"/>
    <w:qFormat/>
    <w:uiPriority w:val="0"/>
    <w:rPr>
      <w:kern w:val="2"/>
      <w:sz w:val="18"/>
      <w:szCs w:val="18"/>
    </w:rPr>
  </w:style>
  <w:style w:type="character" w:customStyle="1" w:styleId="23">
    <w:name w:val="批注主题 Char"/>
    <w:link w:val="11"/>
    <w:qFormat/>
    <w:uiPriority w:val="0"/>
    <w:rPr>
      <w:b/>
      <w:bCs/>
      <w:kern w:val="2"/>
      <w:sz w:val="21"/>
    </w:rPr>
  </w:style>
  <w:style w:type="paragraph" w:customStyle="1" w:styleId="24">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5">
    <w:name w:val=" Char Char Char Char Char Char Char Char Char"/>
    <w:basedOn w:val="1"/>
    <w:qFormat/>
    <w:uiPriority w:val="0"/>
    <w:pPr>
      <w:numPr>
        <w:ilvl w:val="0"/>
        <w:numId w:val="1"/>
      </w:numPr>
    </w:pPr>
    <w:rPr>
      <w:sz w:val="24"/>
      <w:szCs w:val="24"/>
    </w:rPr>
  </w:style>
  <w:style w:type="paragraph" w:customStyle="1" w:styleId="26">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fontstyle01"/>
    <w:qFormat/>
    <w:uiPriority w:val="0"/>
    <w:rPr>
      <w:rFonts w:hint="eastAsia" w:ascii="宋体" w:hAnsi="宋体" w:eastAsia="宋体"/>
      <w:color w:val="000000"/>
      <w:sz w:val="24"/>
      <w:szCs w:val="24"/>
    </w:rPr>
  </w:style>
  <w:style w:type="paragraph" w:customStyle="1" w:styleId="29">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30">
    <w:name w:val="CM10"/>
    <w:basedOn w:val="27"/>
    <w:next w:val="27"/>
    <w:qFormat/>
    <w:uiPriority w:val="0"/>
    <w:pPr>
      <w:spacing w:after="723"/>
    </w:pPr>
    <w:rPr>
      <w:rFonts w:ascii="黑体" w:hAnsi="Times New Roman" w:eastAsia="黑体" w:cs="Times New Roman"/>
      <w:color w:val="auto"/>
    </w:rPr>
  </w:style>
  <w:style w:type="paragraph" w:styleId="31">
    <w:name w:val="List Paragraph"/>
    <w:basedOn w:val="1"/>
    <w:qFormat/>
    <w:uiPriority w:val="34"/>
    <w:pPr>
      <w:ind w:firstLine="420" w:firstLineChars="200"/>
    </w:pPr>
  </w:style>
  <w:style w:type="paragraph" w:customStyle="1" w:styleId="32">
    <w:name w:val="立信附注正文 [2级]"/>
    <w:qFormat/>
    <w:uiPriority w:val="0"/>
    <w:pPr>
      <w:widowControl w:val="0"/>
      <w:tabs>
        <w:tab w:val="left" w:pos="0"/>
      </w:tabs>
      <w:adjustRightInd w:val="0"/>
      <w:snapToGrid w:val="0"/>
      <w:spacing w:line="400" w:lineRule="atLeast"/>
      <w:ind w:left="714"/>
      <w:jc w:val="both"/>
    </w:pPr>
    <w:rPr>
      <w:rFonts w:ascii="Times New Roman" w:hAnsi="Times New Roman" w:eastAsia="宋体" w:cs="Times New Roman"/>
      <w:color w:val="000000"/>
      <w:kern w:val="2"/>
      <w:sz w:val="21"/>
      <w:szCs w:val="21"/>
      <w:lang w:val="en-US" w:eastAsia="zh-CN" w:bidi="ar-SA"/>
    </w:rPr>
  </w:style>
  <w:style w:type="paragraph" w:customStyle="1" w:styleId="33">
    <w:name w:val="立信附注正文 [3级]"/>
    <w:qFormat/>
    <w:uiPriority w:val="0"/>
    <w:pPr>
      <w:widowControl w:val="0"/>
      <w:tabs>
        <w:tab w:val="left" w:pos="0"/>
      </w:tabs>
      <w:adjustRightInd w:val="0"/>
      <w:snapToGrid w:val="0"/>
      <w:spacing w:line="400" w:lineRule="atLeast"/>
      <w:ind w:left="1276"/>
      <w:jc w:val="both"/>
    </w:pPr>
    <w:rPr>
      <w:rFonts w:ascii="Times New Roman" w:hAnsi="Times New Roman" w:eastAsia="宋体" w:cs="Times New Roman"/>
      <w:color w:val="000000"/>
      <w:kern w:val="2"/>
      <w:sz w:val="21"/>
      <w:szCs w:val="21"/>
      <w:lang w:val="en-US" w:eastAsia="zh-CN" w:bidi="ar-SA"/>
    </w:rPr>
  </w:style>
  <w:style w:type="table" w:customStyle="1" w:styleId="34">
    <w:name w:val="立信年报表格 [3级]"/>
    <w:basedOn w:val="12"/>
    <w:qFormat/>
    <w:uiPriority w:val="0"/>
    <w:pPr>
      <w:jc w:val="both"/>
    </w:pPr>
    <w:rPr>
      <w:rFonts w:ascii="Times New Roman" w:hAnsi="Times New Roman" w:eastAsia="宋体" w:cs="Times New Roman"/>
      <w:color w:val="000000"/>
      <w:sz w:val="18"/>
    </w:rPr>
    <w:tblPr>
      <w:tblBorders>
        <w:top w:val="single" w:color="auto" w:sz="12" w:space="0"/>
        <w:bottom w:val="single" w:color="auto" w:sz="12" w:space="0"/>
        <w:insideH w:val="dotted" w:color="auto" w:sz="4" w:space="0"/>
        <w:insideV w:val="dotted" w:color="auto" w:sz="4" w:space="0"/>
      </w:tblBorders>
      <w:tblCellMar>
        <w:top w:w="0" w:type="dxa"/>
        <w:left w:w="108" w:type="dxa"/>
        <w:bottom w:w="0" w:type="dxa"/>
        <w:right w:w="108" w:type="dxa"/>
      </w:tblCellMar>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table" w:customStyle="1" w:styleId="35">
    <w:name w:val="立信年报表格 [2级]"/>
    <w:basedOn w:val="12"/>
    <w:qFormat/>
    <w:uiPriority w:val="0"/>
    <w:pPr>
      <w:jc w:val="both"/>
    </w:pPr>
    <w:rPr>
      <w:rFonts w:ascii="Times New Roman" w:hAnsi="Times New Roman" w:eastAsia="宋体" w:cs="Times New Roman"/>
      <w:color w:val="000000"/>
      <w:sz w:val="18"/>
    </w:rPr>
    <w:tblPr>
      <w:tblBorders>
        <w:top w:val="single" w:color="auto" w:sz="12" w:space="0"/>
        <w:bottom w:val="single" w:color="auto" w:sz="12" w:space="0"/>
        <w:insideH w:val="dotted" w:color="auto" w:sz="4" w:space="0"/>
        <w:insideV w:val="dotted" w:color="auto" w:sz="4" w:space="0"/>
      </w:tblBorders>
      <w:tblCellMar>
        <w:top w:w="0" w:type="dxa"/>
        <w:left w:w="108" w:type="dxa"/>
        <w:bottom w:w="0" w:type="dxa"/>
        <w:right w:w="108" w:type="dxa"/>
      </w:tblCellMar>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character" w:customStyle="1" w:styleId="36">
    <w:name w:val="font61"/>
    <w:basedOn w:val="15"/>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6040</Words>
  <Characters>7249</Characters>
  <Lines>52</Lines>
  <Paragraphs>14</Paragraphs>
  <TotalTime>3</TotalTime>
  <ScaleCrop>false</ScaleCrop>
  <LinksUpToDate>false</LinksUpToDate>
  <CharactersWithSpaces>7312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2020-04-28T00:42:00Z</dcterms:created>
  <dc:creator>qw</dc:creator>
  <cp:lastModifiedBy>P194919</cp:lastModifiedBy>
  <cp:lastPrinted>2024-04-26T02:57:00Z</cp:lastPrinted>
  <dcterms:modified xsi:type="dcterms:W3CDTF">2025-04-27T11:06:56Z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9821D13EAE464E68BAEC3BDD0FE5FE70</vt:lpwstr>
  </property>
</Properties>
</file>